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9ACA5" w14:textId="77777777" w:rsidR="00707C0F" w:rsidRPr="006B5A1B" w:rsidRDefault="00707C0F" w:rsidP="00707C0F">
      <w:pPr>
        <w:spacing w:line="360" w:lineRule="auto"/>
        <w:jc w:val="center"/>
        <w:rPr>
          <w:rFonts w:asciiTheme="majorHAnsi" w:hAnsiTheme="majorHAnsi" w:cstheme="majorHAnsi"/>
        </w:rPr>
      </w:pPr>
      <w:bookmarkStart w:id="0" w:name="OLE_LINK1"/>
      <w:bookmarkStart w:id="1" w:name="OLE_LINK2"/>
    </w:p>
    <w:p w14:paraId="7E61122D" w14:textId="77777777" w:rsidR="00707C0F" w:rsidRPr="006B5A1B" w:rsidRDefault="00707C0F" w:rsidP="00707C0F">
      <w:pPr>
        <w:spacing w:line="360" w:lineRule="auto"/>
        <w:jc w:val="center"/>
        <w:rPr>
          <w:rFonts w:asciiTheme="majorHAnsi" w:hAnsiTheme="majorHAnsi" w:cstheme="majorHAnsi"/>
        </w:rPr>
      </w:pPr>
    </w:p>
    <w:p w14:paraId="6D033930" w14:textId="77777777" w:rsidR="00707C0F" w:rsidRPr="006B5A1B" w:rsidRDefault="00707C0F" w:rsidP="00707C0F">
      <w:pPr>
        <w:spacing w:line="360" w:lineRule="auto"/>
        <w:jc w:val="center"/>
        <w:rPr>
          <w:rFonts w:asciiTheme="majorHAnsi" w:hAnsiTheme="majorHAnsi" w:cstheme="majorHAnsi"/>
        </w:rPr>
      </w:pPr>
    </w:p>
    <w:p w14:paraId="28964871" w14:textId="77777777" w:rsidR="00707C0F" w:rsidRDefault="00707C0F" w:rsidP="003A2B94">
      <w:pPr>
        <w:spacing w:line="360" w:lineRule="auto"/>
        <w:rPr>
          <w:rFonts w:asciiTheme="majorHAnsi" w:hAnsiTheme="majorHAnsi" w:cstheme="majorHAnsi"/>
        </w:rPr>
      </w:pPr>
    </w:p>
    <w:p w14:paraId="712A5677" w14:textId="77777777" w:rsidR="008E5CA1" w:rsidRDefault="008E5CA1" w:rsidP="003A2B94">
      <w:pPr>
        <w:spacing w:line="360" w:lineRule="auto"/>
        <w:rPr>
          <w:rFonts w:asciiTheme="majorHAnsi" w:hAnsiTheme="majorHAnsi" w:cstheme="majorHAnsi"/>
        </w:rPr>
      </w:pPr>
    </w:p>
    <w:p w14:paraId="32E856C6" w14:textId="77777777" w:rsidR="00AF3D69" w:rsidRDefault="00AF3D69" w:rsidP="003A2B94">
      <w:pPr>
        <w:spacing w:line="360" w:lineRule="auto"/>
        <w:rPr>
          <w:rFonts w:asciiTheme="majorHAnsi" w:hAnsiTheme="majorHAnsi" w:cstheme="majorHAnsi"/>
        </w:rPr>
      </w:pPr>
    </w:p>
    <w:p w14:paraId="6F1C9E16" w14:textId="77777777" w:rsidR="00AF3D69" w:rsidRDefault="00AF3D69" w:rsidP="003A2B94">
      <w:pPr>
        <w:spacing w:line="360" w:lineRule="auto"/>
        <w:rPr>
          <w:rFonts w:asciiTheme="majorHAnsi" w:hAnsiTheme="majorHAnsi" w:cstheme="majorHAnsi"/>
        </w:rPr>
      </w:pPr>
    </w:p>
    <w:p w14:paraId="4C06D963" w14:textId="77777777" w:rsidR="008E5CA1" w:rsidRPr="006B5A1B" w:rsidRDefault="008E5CA1" w:rsidP="003A2B94">
      <w:pPr>
        <w:spacing w:line="360" w:lineRule="auto"/>
        <w:rPr>
          <w:rFonts w:asciiTheme="majorHAnsi" w:hAnsiTheme="majorHAnsi" w:cstheme="majorHAnsi"/>
        </w:rPr>
      </w:pPr>
    </w:p>
    <w:p w14:paraId="53B38E5B" w14:textId="77777777" w:rsidR="00707C0F" w:rsidRPr="006B5A1B" w:rsidRDefault="00707C0F" w:rsidP="00707C0F">
      <w:pPr>
        <w:spacing w:line="360" w:lineRule="auto"/>
        <w:jc w:val="center"/>
        <w:rPr>
          <w:rFonts w:asciiTheme="majorHAnsi" w:hAnsiTheme="majorHAnsi" w:cstheme="majorHAnsi"/>
        </w:rPr>
      </w:pPr>
    </w:p>
    <w:p w14:paraId="2A692149" w14:textId="77777777" w:rsidR="00707C0F" w:rsidRPr="006B5A1B" w:rsidRDefault="00707C0F" w:rsidP="00707C0F">
      <w:pPr>
        <w:spacing w:line="360" w:lineRule="auto"/>
        <w:jc w:val="center"/>
        <w:rPr>
          <w:rFonts w:asciiTheme="majorHAnsi" w:hAnsiTheme="majorHAnsi" w:cstheme="majorHAnsi"/>
        </w:rPr>
      </w:pPr>
    </w:p>
    <w:p w14:paraId="137CDCDB" w14:textId="549BFFEF" w:rsidR="003A2B94" w:rsidRDefault="003A2B94" w:rsidP="00707C0F">
      <w:pPr>
        <w:spacing w:line="360" w:lineRule="auto"/>
        <w:jc w:val="center"/>
        <w:rPr>
          <w:rFonts w:asciiTheme="majorHAnsi" w:hAnsiTheme="majorHAnsi" w:cstheme="majorHAnsi"/>
          <w:b/>
          <w:bCs/>
        </w:rPr>
      </w:pPr>
      <w:r>
        <w:rPr>
          <w:rFonts w:asciiTheme="majorHAnsi" w:hAnsiTheme="majorHAnsi" w:cstheme="majorHAnsi"/>
          <w:b/>
          <w:bCs/>
        </w:rPr>
        <w:t xml:space="preserve">Research on Youth Experiencing Homelessness within The United States </w:t>
      </w:r>
    </w:p>
    <w:p w14:paraId="5F18CD52" w14:textId="78CD6E68" w:rsidR="00707C0F" w:rsidRDefault="003A2B94" w:rsidP="00AF3D69">
      <w:pPr>
        <w:spacing w:line="360" w:lineRule="auto"/>
        <w:jc w:val="center"/>
        <w:rPr>
          <w:rFonts w:asciiTheme="majorHAnsi" w:hAnsiTheme="majorHAnsi" w:cstheme="majorHAnsi"/>
          <w:b/>
          <w:bCs/>
        </w:rPr>
      </w:pPr>
      <w:r>
        <w:rPr>
          <w:rFonts w:asciiTheme="majorHAnsi" w:hAnsiTheme="majorHAnsi" w:cstheme="majorHAnsi"/>
          <w:b/>
          <w:bCs/>
        </w:rPr>
        <w:t>For The Moment Initiative</w:t>
      </w:r>
    </w:p>
    <w:p w14:paraId="4839D409" w14:textId="77777777" w:rsidR="00AF3D69" w:rsidRDefault="00AF3D69" w:rsidP="00AF3D69">
      <w:pPr>
        <w:spacing w:line="360" w:lineRule="auto"/>
        <w:jc w:val="center"/>
        <w:rPr>
          <w:rFonts w:asciiTheme="majorHAnsi" w:hAnsiTheme="majorHAnsi" w:cstheme="majorHAnsi"/>
          <w:b/>
          <w:bCs/>
        </w:rPr>
      </w:pPr>
    </w:p>
    <w:p w14:paraId="1D77C1B1" w14:textId="77777777" w:rsidR="00AF3D69" w:rsidRDefault="00AF3D69" w:rsidP="00AF3D69">
      <w:pPr>
        <w:spacing w:line="360" w:lineRule="auto"/>
        <w:jc w:val="center"/>
        <w:rPr>
          <w:rFonts w:asciiTheme="majorHAnsi" w:hAnsiTheme="majorHAnsi" w:cstheme="majorHAnsi"/>
          <w:b/>
          <w:bCs/>
        </w:rPr>
      </w:pPr>
    </w:p>
    <w:p w14:paraId="58694AAF" w14:textId="77777777" w:rsidR="00AF3D69" w:rsidRDefault="00AF3D69" w:rsidP="00AF3D69">
      <w:pPr>
        <w:spacing w:line="360" w:lineRule="auto"/>
        <w:jc w:val="center"/>
        <w:rPr>
          <w:rFonts w:asciiTheme="majorHAnsi" w:hAnsiTheme="majorHAnsi" w:cstheme="majorHAnsi"/>
          <w:b/>
          <w:bCs/>
        </w:rPr>
      </w:pPr>
    </w:p>
    <w:p w14:paraId="252DC9FD" w14:textId="77777777" w:rsidR="00AF3D69" w:rsidRDefault="00AF3D69" w:rsidP="00AF3D69">
      <w:pPr>
        <w:spacing w:line="360" w:lineRule="auto"/>
        <w:jc w:val="center"/>
        <w:rPr>
          <w:rFonts w:asciiTheme="majorHAnsi" w:hAnsiTheme="majorHAnsi" w:cstheme="majorHAnsi"/>
          <w:b/>
          <w:bCs/>
        </w:rPr>
      </w:pPr>
    </w:p>
    <w:p w14:paraId="75C57A64" w14:textId="77777777" w:rsidR="00AF3D69" w:rsidRDefault="00AF3D69" w:rsidP="00AF3D69">
      <w:pPr>
        <w:spacing w:line="360" w:lineRule="auto"/>
        <w:jc w:val="center"/>
        <w:rPr>
          <w:rFonts w:asciiTheme="majorHAnsi" w:hAnsiTheme="majorHAnsi" w:cstheme="majorHAnsi"/>
          <w:b/>
          <w:bCs/>
        </w:rPr>
      </w:pPr>
    </w:p>
    <w:p w14:paraId="64AA4AF6" w14:textId="77777777" w:rsidR="00AF3D69" w:rsidRDefault="00AF3D69" w:rsidP="00AF3D69">
      <w:pPr>
        <w:spacing w:line="360" w:lineRule="auto"/>
        <w:jc w:val="center"/>
        <w:rPr>
          <w:rFonts w:asciiTheme="majorHAnsi" w:hAnsiTheme="majorHAnsi" w:cstheme="majorHAnsi"/>
          <w:b/>
          <w:bCs/>
        </w:rPr>
      </w:pPr>
    </w:p>
    <w:p w14:paraId="59840B4F" w14:textId="77777777" w:rsidR="00AF3D69" w:rsidRDefault="00AF3D69" w:rsidP="00AF3D69">
      <w:pPr>
        <w:spacing w:line="360" w:lineRule="auto"/>
        <w:jc w:val="center"/>
        <w:rPr>
          <w:rFonts w:asciiTheme="majorHAnsi" w:hAnsiTheme="majorHAnsi" w:cstheme="majorHAnsi"/>
          <w:b/>
          <w:bCs/>
        </w:rPr>
      </w:pPr>
    </w:p>
    <w:p w14:paraId="169D9777" w14:textId="77777777" w:rsidR="00AF3D69" w:rsidRDefault="00AF3D69" w:rsidP="00AF3D69">
      <w:pPr>
        <w:spacing w:line="360" w:lineRule="auto"/>
        <w:jc w:val="center"/>
        <w:rPr>
          <w:rFonts w:asciiTheme="majorHAnsi" w:hAnsiTheme="majorHAnsi" w:cstheme="majorHAnsi"/>
          <w:b/>
          <w:bCs/>
        </w:rPr>
      </w:pPr>
    </w:p>
    <w:p w14:paraId="3FD131FF" w14:textId="77777777" w:rsidR="00AF3D69" w:rsidRDefault="00AF3D69" w:rsidP="00AF3D69">
      <w:pPr>
        <w:spacing w:line="360" w:lineRule="auto"/>
        <w:jc w:val="center"/>
        <w:rPr>
          <w:rFonts w:asciiTheme="majorHAnsi" w:hAnsiTheme="majorHAnsi" w:cstheme="majorHAnsi"/>
          <w:b/>
          <w:bCs/>
        </w:rPr>
      </w:pPr>
    </w:p>
    <w:p w14:paraId="2C1C6722" w14:textId="77777777" w:rsidR="00AF3D69" w:rsidRDefault="00AF3D69" w:rsidP="00AF3D69">
      <w:pPr>
        <w:spacing w:line="360" w:lineRule="auto"/>
        <w:jc w:val="center"/>
        <w:rPr>
          <w:rFonts w:asciiTheme="majorHAnsi" w:hAnsiTheme="majorHAnsi" w:cstheme="majorHAnsi"/>
          <w:b/>
          <w:bCs/>
        </w:rPr>
      </w:pPr>
    </w:p>
    <w:p w14:paraId="0A8FD87F" w14:textId="77777777" w:rsidR="00AF3D69" w:rsidRDefault="00AF3D69" w:rsidP="00AF3D69">
      <w:pPr>
        <w:spacing w:line="360" w:lineRule="auto"/>
        <w:jc w:val="center"/>
        <w:rPr>
          <w:rFonts w:asciiTheme="majorHAnsi" w:hAnsiTheme="majorHAnsi" w:cstheme="majorHAnsi"/>
          <w:b/>
          <w:bCs/>
        </w:rPr>
      </w:pPr>
    </w:p>
    <w:p w14:paraId="541D39F1" w14:textId="77777777" w:rsidR="00AF3D69" w:rsidRDefault="00AF3D69" w:rsidP="00AF3D69">
      <w:pPr>
        <w:spacing w:line="360" w:lineRule="auto"/>
        <w:jc w:val="center"/>
        <w:rPr>
          <w:rFonts w:asciiTheme="majorHAnsi" w:hAnsiTheme="majorHAnsi" w:cstheme="majorHAnsi"/>
          <w:b/>
          <w:bCs/>
        </w:rPr>
      </w:pPr>
    </w:p>
    <w:p w14:paraId="692860DF" w14:textId="77777777" w:rsidR="00AF3D69" w:rsidRDefault="00AF3D69" w:rsidP="00AF3D69">
      <w:pPr>
        <w:spacing w:line="360" w:lineRule="auto"/>
        <w:jc w:val="center"/>
        <w:rPr>
          <w:rFonts w:asciiTheme="majorHAnsi" w:hAnsiTheme="majorHAnsi" w:cstheme="majorHAnsi"/>
          <w:b/>
          <w:bCs/>
        </w:rPr>
      </w:pPr>
    </w:p>
    <w:p w14:paraId="5D6A686B" w14:textId="77777777" w:rsidR="00AF3D69" w:rsidRDefault="00AF3D69" w:rsidP="00AF3D69">
      <w:pPr>
        <w:spacing w:line="360" w:lineRule="auto"/>
        <w:jc w:val="center"/>
        <w:rPr>
          <w:rFonts w:asciiTheme="majorHAnsi" w:hAnsiTheme="majorHAnsi" w:cstheme="majorHAnsi"/>
          <w:b/>
          <w:bCs/>
        </w:rPr>
      </w:pPr>
    </w:p>
    <w:p w14:paraId="3F5784D7" w14:textId="77777777" w:rsidR="00AF3D69" w:rsidRDefault="00AF3D69" w:rsidP="00AF3D69">
      <w:pPr>
        <w:spacing w:line="360" w:lineRule="auto"/>
        <w:jc w:val="center"/>
        <w:rPr>
          <w:rFonts w:asciiTheme="majorHAnsi" w:hAnsiTheme="majorHAnsi" w:cstheme="majorHAnsi"/>
          <w:b/>
          <w:bCs/>
        </w:rPr>
      </w:pPr>
    </w:p>
    <w:p w14:paraId="1C222FC5" w14:textId="77777777" w:rsidR="00AF3D69" w:rsidRDefault="00AF3D69" w:rsidP="00AF3D69">
      <w:pPr>
        <w:spacing w:line="360" w:lineRule="auto"/>
        <w:jc w:val="center"/>
        <w:rPr>
          <w:rFonts w:asciiTheme="majorHAnsi" w:hAnsiTheme="majorHAnsi" w:cstheme="majorHAnsi"/>
          <w:b/>
          <w:bCs/>
        </w:rPr>
      </w:pPr>
    </w:p>
    <w:p w14:paraId="273EDBCD" w14:textId="77777777" w:rsidR="00AF3D69" w:rsidRDefault="00AF3D69" w:rsidP="00AF3D69">
      <w:pPr>
        <w:spacing w:line="360" w:lineRule="auto"/>
        <w:jc w:val="center"/>
        <w:rPr>
          <w:rFonts w:asciiTheme="majorHAnsi" w:hAnsiTheme="majorHAnsi" w:cstheme="majorHAnsi"/>
          <w:b/>
          <w:bCs/>
        </w:rPr>
      </w:pPr>
    </w:p>
    <w:p w14:paraId="0C3AA76A" w14:textId="77777777" w:rsidR="00AF3D69" w:rsidRPr="00AF3D69" w:rsidRDefault="00AF3D69" w:rsidP="00AF3D69">
      <w:pPr>
        <w:spacing w:line="360" w:lineRule="auto"/>
        <w:jc w:val="center"/>
        <w:rPr>
          <w:rFonts w:asciiTheme="majorHAnsi" w:hAnsiTheme="majorHAnsi" w:cstheme="majorHAnsi"/>
          <w:b/>
          <w:bCs/>
        </w:rPr>
      </w:pPr>
    </w:p>
    <w:p w14:paraId="4DC32DF4" w14:textId="1CC8FEE0" w:rsidR="00707C0F" w:rsidRPr="006B5A1B" w:rsidRDefault="003A2B94" w:rsidP="00AF3D69">
      <w:pPr>
        <w:spacing w:line="360" w:lineRule="auto"/>
        <w:jc w:val="center"/>
        <w:rPr>
          <w:rFonts w:asciiTheme="majorHAnsi" w:hAnsiTheme="majorHAnsi" w:cstheme="majorHAnsi"/>
        </w:rPr>
      </w:pPr>
      <w:r>
        <w:rPr>
          <w:rFonts w:asciiTheme="majorHAnsi" w:hAnsiTheme="majorHAnsi" w:cstheme="majorHAnsi"/>
        </w:rPr>
        <w:t xml:space="preserve">December </w:t>
      </w:r>
      <w:r w:rsidR="00707C0F" w:rsidRPr="006B5A1B">
        <w:rPr>
          <w:rFonts w:asciiTheme="majorHAnsi" w:hAnsiTheme="majorHAnsi" w:cstheme="majorHAnsi"/>
        </w:rPr>
        <w:t>2024</w:t>
      </w:r>
      <w:r w:rsidR="00707C0F" w:rsidRPr="006B5A1B">
        <w:rPr>
          <w:rFonts w:asciiTheme="majorHAnsi" w:hAnsiTheme="majorHAnsi" w:cstheme="majorHAnsi"/>
        </w:rPr>
        <w:br w:type="page"/>
      </w:r>
    </w:p>
    <w:p w14:paraId="45189FAD" w14:textId="77777777" w:rsidR="005D201A" w:rsidRPr="006B5A1B" w:rsidRDefault="005D201A" w:rsidP="005D201A">
      <w:pPr>
        <w:rPr>
          <w:rFonts w:asciiTheme="majorHAnsi" w:hAnsiTheme="majorHAnsi" w:cstheme="majorHAnsi"/>
          <w:b/>
          <w:bCs/>
        </w:rPr>
      </w:pPr>
      <w:r w:rsidRPr="006B5A1B">
        <w:rPr>
          <w:rFonts w:asciiTheme="majorHAnsi" w:hAnsiTheme="majorHAnsi" w:cstheme="majorHAnsi"/>
          <w:b/>
          <w:bCs/>
        </w:rPr>
        <w:lastRenderedPageBreak/>
        <w:t>Abstract</w:t>
      </w:r>
    </w:p>
    <w:p w14:paraId="5CB28AE2" w14:textId="77777777" w:rsidR="005D201A" w:rsidRPr="006B5A1B" w:rsidRDefault="005D201A" w:rsidP="005D201A">
      <w:pPr>
        <w:rPr>
          <w:rFonts w:asciiTheme="majorHAnsi" w:hAnsiTheme="majorHAnsi" w:cstheme="majorHAnsi"/>
          <w:b/>
          <w:bCs/>
        </w:rPr>
      </w:pPr>
    </w:p>
    <w:p w14:paraId="4886F48A" w14:textId="77777777" w:rsidR="005D201A" w:rsidRPr="006B5A1B" w:rsidRDefault="005D201A" w:rsidP="005D201A">
      <w:pPr>
        <w:rPr>
          <w:rFonts w:asciiTheme="majorHAnsi" w:hAnsiTheme="majorHAnsi" w:cstheme="majorHAnsi"/>
          <w:b/>
          <w:bCs/>
        </w:rPr>
      </w:pPr>
      <w:r w:rsidRPr="006B5A1B">
        <w:rPr>
          <w:rFonts w:asciiTheme="majorHAnsi" w:hAnsiTheme="majorHAnsi" w:cstheme="majorHAnsi"/>
          <w:b/>
          <w:bCs/>
        </w:rPr>
        <w:t>Importance</w:t>
      </w:r>
      <w:proofErr w:type="gramStart"/>
      <w:r w:rsidRPr="006B5A1B">
        <w:rPr>
          <w:rFonts w:asciiTheme="majorHAnsi" w:hAnsiTheme="majorHAnsi" w:cstheme="majorHAnsi"/>
          <w:b/>
          <w:bCs/>
        </w:rPr>
        <w:t xml:space="preserve">:  </w:t>
      </w:r>
      <w:r w:rsidRPr="006B5A1B">
        <w:rPr>
          <w:rFonts w:asciiTheme="majorHAnsi" w:hAnsiTheme="majorHAnsi" w:cstheme="majorHAnsi"/>
        </w:rPr>
        <w:t>Research</w:t>
      </w:r>
      <w:proofErr w:type="gramEnd"/>
      <w:r w:rsidRPr="006B5A1B">
        <w:rPr>
          <w:rFonts w:asciiTheme="majorHAnsi" w:hAnsiTheme="majorHAnsi" w:cstheme="majorHAnsi"/>
        </w:rPr>
        <w:t xml:space="preserve"> on youth experiencing homelessness (YEH) provides several opportunities for increasing overall awareness, advocacy, and intervention.  </w:t>
      </w:r>
    </w:p>
    <w:p w14:paraId="7C60364F" w14:textId="77777777" w:rsidR="005D201A" w:rsidRPr="006B5A1B" w:rsidRDefault="005D201A" w:rsidP="005D201A">
      <w:pPr>
        <w:rPr>
          <w:rFonts w:asciiTheme="majorHAnsi" w:hAnsiTheme="majorHAnsi" w:cstheme="majorHAnsi"/>
          <w:b/>
          <w:bCs/>
        </w:rPr>
      </w:pPr>
    </w:p>
    <w:p w14:paraId="12106F49" w14:textId="77777777" w:rsidR="005D201A" w:rsidRPr="006B5A1B" w:rsidRDefault="005D201A" w:rsidP="005D201A">
      <w:pPr>
        <w:rPr>
          <w:rFonts w:asciiTheme="majorHAnsi" w:hAnsiTheme="majorHAnsi" w:cstheme="majorHAnsi"/>
          <w:b/>
          <w:bCs/>
        </w:rPr>
      </w:pPr>
      <w:r w:rsidRPr="006B5A1B">
        <w:rPr>
          <w:rFonts w:asciiTheme="majorHAnsi" w:hAnsiTheme="majorHAnsi" w:cstheme="majorHAnsi"/>
          <w:b/>
          <w:bCs/>
        </w:rPr>
        <w:t xml:space="preserve">Objective: </w:t>
      </w:r>
      <w:r w:rsidRPr="006B5A1B">
        <w:rPr>
          <w:rFonts w:asciiTheme="majorHAnsi" w:hAnsiTheme="majorHAnsi" w:cstheme="majorHAnsi"/>
        </w:rPr>
        <w:t xml:space="preserve">To acquire, analyze, and disseminate current information on interventions, national policies, risk factors, and outcomes impacting YEH.  </w:t>
      </w:r>
    </w:p>
    <w:p w14:paraId="1B89FD4B" w14:textId="77777777" w:rsidR="005D201A" w:rsidRPr="006B5A1B" w:rsidRDefault="005D201A" w:rsidP="005D201A">
      <w:pPr>
        <w:rPr>
          <w:rFonts w:asciiTheme="majorHAnsi" w:hAnsiTheme="majorHAnsi" w:cstheme="majorHAnsi"/>
          <w:b/>
          <w:bCs/>
        </w:rPr>
      </w:pPr>
    </w:p>
    <w:p w14:paraId="17C6DB73" w14:textId="77777777" w:rsidR="005D201A" w:rsidRPr="006B5A1B" w:rsidRDefault="005D201A" w:rsidP="005D201A">
      <w:pPr>
        <w:rPr>
          <w:rFonts w:asciiTheme="majorHAnsi" w:hAnsiTheme="majorHAnsi" w:cstheme="majorHAnsi"/>
          <w:b/>
          <w:bCs/>
        </w:rPr>
      </w:pPr>
      <w:r w:rsidRPr="006B5A1B">
        <w:rPr>
          <w:rFonts w:asciiTheme="majorHAnsi" w:hAnsiTheme="majorHAnsi" w:cstheme="majorHAnsi"/>
          <w:b/>
          <w:bCs/>
        </w:rPr>
        <w:t xml:space="preserve">Design, Setting, Participants: </w:t>
      </w:r>
      <w:r w:rsidRPr="006B5A1B">
        <w:rPr>
          <w:rFonts w:asciiTheme="majorHAnsi" w:hAnsiTheme="majorHAnsi" w:cstheme="majorHAnsi"/>
        </w:rPr>
        <w:t xml:space="preserve">A </w:t>
      </w:r>
      <w:r>
        <w:rPr>
          <w:rFonts w:asciiTheme="majorHAnsi" w:hAnsiTheme="majorHAnsi" w:cstheme="majorHAnsi"/>
        </w:rPr>
        <w:t xml:space="preserve">mixed methods approach was taken utilizing a </w:t>
      </w:r>
      <w:r w:rsidRPr="006B5A1B">
        <w:rPr>
          <w:rFonts w:asciiTheme="majorHAnsi" w:hAnsiTheme="majorHAnsi" w:cstheme="majorHAnsi"/>
        </w:rPr>
        <w:t xml:space="preserve">rapid literature of publications from PubMed </w:t>
      </w:r>
      <w:r>
        <w:rPr>
          <w:rFonts w:asciiTheme="majorHAnsi" w:hAnsiTheme="majorHAnsi" w:cstheme="majorHAnsi"/>
        </w:rPr>
        <w:t xml:space="preserve">and content analysis of youth.gov </w:t>
      </w:r>
      <w:r w:rsidRPr="006B5A1B">
        <w:rPr>
          <w:rFonts w:asciiTheme="majorHAnsi" w:hAnsiTheme="majorHAnsi" w:cstheme="majorHAnsi"/>
        </w:rPr>
        <w:t xml:space="preserve">to gather information on YEH within the United States (US). </w:t>
      </w:r>
    </w:p>
    <w:p w14:paraId="42DD7CE8" w14:textId="77777777" w:rsidR="005D201A" w:rsidRPr="006B5A1B" w:rsidRDefault="005D201A" w:rsidP="005D201A">
      <w:pPr>
        <w:rPr>
          <w:rFonts w:asciiTheme="majorHAnsi" w:hAnsiTheme="majorHAnsi" w:cstheme="majorHAnsi"/>
          <w:b/>
          <w:bCs/>
        </w:rPr>
      </w:pPr>
    </w:p>
    <w:p w14:paraId="460D979D" w14:textId="77777777" w:rsidR="005D201A" w:rsidRPr="006B5A1B" w:rsidRDefault="005D201A" w:rsidP="005D201A">
      <w:pPr>
        <w:rPr>
          <w:rFonts w:asciiTheme="majorHAnsi" w:hAnsiTheme="majorHAnsi" w:cstheme="majorHAnsi"/>
        </w:rPr>
      </w:pPr>
      <w:r w:rsidRPr="006B5A1B">
        <w:rPr>
          <w:rFonts w:asciiTheme="majorHAnsi" w:hAnsiTheme="majorHAnsi" w:cstheme="majorHAnsi"/>
          <w:b/>
          <w:bCs/>
        </w:rPr>
        <w:t xml:space="preserve">Main Outcomes and Measures: </w:t>
      </w:r>
      <w:r w:rsidRPr="006B5A1B">
        <w:rPr>
          <w:rFonts w:asciiTheme="majorHAnsi" w:hAnsiTheme="majorHAnsi" w:cstheme="majorHAnsi"/>
        </w:rPr>
        <w:t>A variety of sources will be collected, assessed for quality, and analyzed to gain a preliminary knowledge base on risk factors, outcomes, interventions</w:t>
      </w:r>
      <w:r>
        <w:rPr>
          <w:rFonts w:asciiTheme="majorHAnsi" w:hAnsiTheme="majorHAnsi" w:cstheme="majorHAnsi"/>
        </w:rPr>
        <w:t>, and governmental policies/programs</w:t>
      </w:r>
      <w:r w:rsidRPr="006B5A1B">
        <w:rPr>
          <w:rFonts w:asciiTheme="majorHAnsi" w:hAnsiTheme="majorHAnsi" w:cstheme="majorHAnsi"/>
        </w:rPr>
        <w:t xml:space="preserve"> that impact YEH.  </w:t>
      </w:r>
    </w:p>
    <w:p w14:paraId="127E38E1" w14:textId="77777777" w:rsidR="005D201A" w:rsidRPr="006B5A1B" w:rsidRDefault="005D201A" w:rsidP="005D201A">
      <w:pPr>
        <w:rPr>
          <w:rFonts w:asciiTheme="majorHAnsi" w:hAnsiTheme="majorHAnsi" w:cstheme="majorHAnsi"/>
          <w:b/>
          <w:bCs/>
        </w:rPr>
      </w:pPr>
    </w:p>
    <w:p w14:paraId="0F58D739" w14:textId="77777777" w:rsidR="005D201A" w:rsidRPr="00427FCE" w:rsidRDefault="005D201A" w:rsidP="005D201A">
      <w:r w:rsidRPr="006B5A1B">
        <w:rPr>
          <w:rFonts w:asciiTheme="majorHAnsi" w:hAnsiTheme="majorHAnsi" w:cstheme="majorHAnsi"/>
          <w:b/>
          <w:bCs/>
        </w:rPr>
        <w:t xml:space="preserve">Results: </w:t>
      </w:r>
      <w:r w:rsidRPr="00BD40BC">
        <w:rPr>
          <w:rFonts w:asciiTheme="majorHAnsi" w:hAnsiTheme="majorHAnsi" w:cstheme="majorHAnsi"/>
        </w:rPr>
        <w:t xml:space="preserve">25 scholarly publications were reviewed with </w:t>
      </w:r>
      <w:r>
        <w:rPr>
          <w:rFonts w:asciiTheme="majorHAnsi" w:hAnsiTheme="majorHAnsi" w:cstheme="majorHAnsi"/>
        </w:rPr>
        <w:t>27</w:t>
      </w:r>
      <w:r w:rsidRPr="00BD40BC">
        <w:rPr>
          <w:rFonts w:asciiTheme="majorHAnsi" w:hAnsiTheme="majorHAnsi" w:cstheme="majorHAnsi"/>
        </w:rPr>
        <w:t xml:space="preserve"> risk factors</w:t>
      </w:r>
      <w:r>
        <w:rPr>
          <w:rFonts w:asciiTheme="majorHAnsi" w:hAnsiTheme="majorHAnsi" w:cstheme="majorHAnsi"/>
        </w:rPr>
        <w:t xml:space="preserve"> and 17</w:t>
      </w:r>
      <w:r w:rsidRPr="00BD40BC">
        <w:rPr>
          <w:rFonts w:asciiTheme="majorHAnsi" w:hAnsiTheme="majorHAnsi" w:cstheme="majorHAnsi"/>
        </w:rPr>
        <w:t xml:space="preserve"> outcomes</w:t>
      </w:r>
      <w:r>
        <w:rPr>
          <w:rFonts w:asciiTheme="majorHAnsi" w:hAnsiTheme="majorHAnsi" w:cstheme="majorHAnsi"/>
        </w:rPr>
        <w:t xml:space="preserve"> of youth homelessness found.  </w:t>
      </w:r>
      <w:r>
        <w:t>A total of t</w:t>
      </w:r>
      <w:r w:rsidRPr="00BD40BC">
        <w:rPr>
          <w:rFonts w:asciiTheme="majorHAnsi" w:hAnsiTheme="majorHAnsi" w:cstheme="majorHAnsi"/>
        </w:rPr>
        <w:t>wo community-based interventions</w:t>
      </w:r>
      <w:r>
        <w:rPr>
          <w:rFonts w:asciiTheme="majorHAnsi" w:hAnsiTheme="majorHAnsi" w:cstheme="majorHAnsi"/>
        </w:rPr>
        <w:t xml:space="preserve"> were collected as part of the literature review</w:t>
      </w:r>
      <w:r w:rsidRPr="00BD40BC">
        <w:rPr>
          <w:rFonts w:asciiTheme="majorHAnsi" w:hAnsiTheme="majorHAnsi" w:cstheme="majorHAnsi"/>
        </w:rPr>
        <w:t xml:space="preserve">, both </w:t>
      </w:r>
      <w:r>
        <w:rPr>
          <w:rFonts w:asciiTheme="majorHAnsi" w:hAnsiTheme="majorHAnsi" w:cstheme="majorHAnsi"/>
        </w:rPr>
        <w:t>were successful in improving</w:t>
      </w:r>
      <w:r w:rsidRPr="00BD40BC">
        <w:rPr>
          <w:rFonts w:asciiTheme="majorHAnsi" w:hAnsiTheme="majorHAnsi" w:cstheme="majorHAnsi"/>
        </w:rPr>
        <w:t xml:space="preserve"> mental health.  Content analysis of youth.gov found 20 programs providing YEH financial support, housing, nutritional support, and supportive services.   </w:t>
      </w:r>
    </w:p>
    <w:p w14:paraId="5E45641F" w14:textId="77777777" w:rsidR="005D201A" w:rsidRPr="006B5A1B" w:rsidRDefault="005D201A" w:rsidP="005D201A">
      <w:pPr>
        <w:rPr>
          <w:rFonts w:asciiTheme="majorHAnsi" w:hAnsiTheme="majorHAnsi" w:cstheme="majorHAnsi"/>
          <w:b/>
          <w:bCs/>
        </w:rPr>
      </w:pPr>
    </w:p>
    <w:p w14:paraId="271EDEDE" w14:textId="77777777" w:rsidR="005D201A" w:rsidRPr="006B5A1B" w:rsidRDefault="005D201A" w:rsidP="005D201A">
      <w:pPr>
        <w:rPr>
          <w:rFonts w:asciiTheme="majorHAnsi" w:hAnsiTheme="majorHAnsi" w:cstheme="majorHAnsi"/>
          <w:b/>
          <w:bCs/>
        </w:rPr>
      </w:pPr>
      <w:r w:rsidRPr="006B5A1B">
        <w:rPr>
          <w:rFonts w:asciiTheme="majorHAnsi" w:hAnsiTheme="majorHAnsi" w:cstheme="majorHAnsi"/>
          <w:b/>
          <w:bCs/>
        </w:rPr>
        <w:t>Conclusion</w:t>
      </w:r>
      <w:proofErr w:type="gramStart"/>
      <w:r w:rsidRPr="006B5A1B">
        <w:rPr>
          <w:rFonts w:asciiTheme="majorHAnsi" w:hAnsiTheme="majorHAnsi" w:cstheme="majorHAnsi"/>
          <w:b/>
          <w:bCs/>
        </w:rPr>
        <w:t xml:space="preserve">:  </w:t>
      </w:r>
      <w:r w:rsidRPr="006B5A1B">
        <w:rPr>
          <w:rFonts w:asciiTheme="majorHAnsi" w:hAnsiTheme="majorHAnsi" w:cstheme="majorHAnsi"/>
        </w:rPr>
        <w:t>A</w:t>
      </w:r>
      <w:proofErr w:type="gramEnd"/>
      <w:r w:rsidRPr="006B5A1B">
        <w:rPr>
          <w:rFonts w:asciiTheme="majorHAnsi" w:hAnsiTheme="majorHAnsi" w:cstheme="majorHAnsi"/>
        </w:rPr>
        <w:t xml:space="preserve"> variety of </w:t>
      </w:r>
      <w:r>
        <w:rPr>
          <w:rFonts w:asciiTheme="majorHAnsi" w:hAnsiTheme="majorHAnsi" w:cstheme="majorHAnsi"/>
        </w:rPr>
        <w:t xml:space="preserve">risk </w:t>
      </w:r>
      <w:r w:rsidRPr="006B5A1B">
        <w:rPr>
          <w:rFonts w:asciiTheme="majorHAnsi" w:hAnsiTheme="majorHAnsi" w:cstheme="majorHAnsi"/>
        </w:rPr>
        <w:t>factors influence a youth’s trajectory into and out of homelessness</w:t>
      </w:r>
      <w:r>
        <w:rPr>
          <w:rFonts w:asciiTheme="majorHAnsi" w:hAnsiTheme="majorHAnsi" w:cstheme="majorHAnsi"/>
        </w:rPr>
        <w:t>.  Current interventions and governmental polices/programs provide both upstream and downstream approaches to provide protective measures against risk factors and help reduce a variety of negative outcomes.  C</w:t>
      </w:r>
      <w:r w:rsidRPr="006B5A1B">
        <w:rPr>
          <w:rFonts w:asciiTheme="majorHAnsi" w:hAnsiTheme="majorHAnsi" w:cstheme="majorHAnsi"/>
          <w:shd w:val="clear" w:color="auto" w:fill="FFFFFF"/>
        </w:rPr>
        <w:t xml:space="preserve">ontinued research on </w:t>
      </w:r>
      <w:r>
        <w:rPr>
          <w:rFonts w:asciiTheme="majorHAnsi" w:hAnsiTheme="majorHAnsi" w:cstheme="majorHAnsi"/>
          <w:shd w:val="clear" w:color="auto" w:fill="FFFFFF"/>
        </w:rPr>
        <w:t>YEH</w:t>
      </w:r>
      <w:r w:rsidRPr="006B5A1B">
        <w:rPr>
          <w:rFonts w:asciiTheme="majorHAnsi" w:hAnsiTheme="majorHAnsi" w:cstheme="majorHAnsi"/>
          <w:shd w:val="clear" w:color="auto" w:fill="FFFFFF"/>
        </w:rPr>
        <w:t xml:space="preserve"> is </w:t>
      </w:r>
      <w:proofErr w:type="gramStart"/>
      <w:r w:rsidRPr="006B5A1B">
        <w:rPr>
          <w:rFonts w:asciiTheme="majorHAnsi" w:hAnsiTheme="majorHAnsi" w:cstheme="majorHAnsi"/>
          <w:shd w:val="clear" w:color="auto" w:fill="FFFFFF"/>
        </w:rPr>
        <w:t>warranted</w:t>
      </w:r>
      <w:proofErr w:type="gramEnd"/>
      <w:r w:rsidRPr="006B5A1B">
        <w:rPr>
          <w:rFonts w:asciiTheme="majorHAnsi" w:hAnsiTheme="majorHAnsi" w:cstheme="majorHAnsi"/>
          <w:shd w:val="clear" w:color="auto" w:fill="FFFFFF"/>
        </w:rPr>
        <w:t xml:space="preserve"> to </w:t>
      </w:r>
      <w:r>
        <w:rPr>
          <w:rFonts w:asciiTheme="majorHAnsi" w:hAnsiTheme="majorHAnsi" w:cstheme="majorHAnsi"/>
          <w:shd w:val="clear" w:color="auto" w:fill="FFFFFF"/>
        </w:rPr>
        <w:t xml:space="preserve">gain a better understanding of the issue and increase </w:t>
      </w:r>
      <w:r w:rsidRPr="006B5A1B">
        <w:rPr>
          <w:rFonts w:asciiTheme="majorHAnsi" w:hAnsiTheme="majorHAnsi" w:cstheme="majorHAnsi"/>
          <w:shd w:val="clear" w:color="auto" w:fill="FFFFFF"/>
        </w:rPr>
        <w:t xml:space="preserve">opportunities </w:t>
      </w:r>
      <w:r>
        <w:rPr>
          <w:rFonts w:asciiTheme="majorHAnsi" w:hAnsiTheme="majorHAnsi" w:cstheme="majorHAnsi"/>
          <w:shd w:val="clear" w:color="auto" w:fill="FFFFFF"/>
        </w:rPr>
        <w:t xml:space="preserve">for </w:t>
      </w:r>
      <w:r w:rsidRPr="006B5A1B">
        <w:rPr>
          <w:rFonts w:asciiTheme="majorHAnsi" w:hAnsiTheme="majorHAnsi" w:cstheme="majorHAnsi"/>
          <w:shd w:val="clear" w:color="auto" w:fill="FFFFFF"/>
        </w:rPr>
        <w:t xml:space="preserve">housing stability amongst </w:t>
      </w:r>
      <w:r>
        <w:rPr>
          <w:rFonts w:asciiTheme="majorHAnsi" w:hAnsiTheme="majorHAnsi" w:cstheme="majorHAnsi"/>
          <w:shd w:val="clear" w:color="auto" w:fill="FFFFFF"/>
        </w:rPr>
        <w:t>YEH.</w:t>
      </w:r>
    </w:p>
    <w:p w14:paraId="7297F019" w14:textId="77777777" w:rsidR="00C92EB7" w:rsidRPr="006B5A1B" w:rsidRDefault="00C92EB7" w:rsidP="00C92EB7">
      <w:pPr>
        <w:rPr>
          <w:rFonts w:asciiTheme="majorHAnsi" w:hAnsiTheme="majorHAnsi" w:cstheme="majorHAnsi"/>
          <w:b/>
          <w:bCs/>
        </w:rPr>
      </w:pPr>
    </w:p>
    <w:p w14:paraId="49E2E52B" w14:textId="77777777" w:rsidR="00C92EB7" w:rsidRPr="006B5A1B" w:rsidRDefault="00C92EB7" w:rsidP="00C92EB7">
      <w:pPr>
        <w:rPr>
          <w:rFonts w:asciiTheme="majorHAnsi" w:hAnsiTheme="majorHAnsi" w:cstheme="majorHAnsi"/>
          <w:b/>
          <w:bCs/>
        </w:rPr>
      </w:pPr>
      <w:r w:rsidRPr="006B5A1B">
        <w:rPr>
          <w:rFonts w:asciiTheme="majorHAnsi" w:hAnsiTheme="majorHAnsi" w:cstheme="majorHAnsi"/>
          <w:b/>
          <w:bCs/>
        </w:rPr>
        <w:br w:type="page"/>
      </w:r>
    </w:p>
    <w:p w14:paraId="207E86A7" w14:textId="77777777" w:rsidR="00C92EB7" w:rsidRPr="006B5A1B" w:rsidRDefault="00C92EB7" w:rsidP="00DB2754">
      <w:pPr>
        <w:spacing w:line="360" w:lineRule="auto"/>
        <w:rPr>
          <w:rFonts w:asciiTheme="majorHAnsi" w:hAnsiTheme="majorHAnsi" w:cstheme="majorHAnsi"/>
          <w:b/>
          <w:bCs/>
        </w:rPr>
      </w:pPr>
      <w:r w:rsidRPr="006B5A1B">
        <w:rPr>
          <w:rFonts w:asciiTheme="majorHAnsi" w:hAnsiTheme="majorHAnsi" w:cstheme="majorHAnsi"/>
          <w:b/>
          <w:bCs/>
        </w:rPr>
        <w:lastRenderedPageBreak/>
        <w:t>Introduction</w:t>
      </w:r>
    </w:p>
    <w:p w14:paraId="31007AF4" w14:textId="3C64346D" w:rsidR="00C92EB7" w:rsidRPr="006B5A1B" w:rsidRDefault="00C92EB7" w:rsidP="00DB2754">
      <w:pPr>
        <w:spacing w:line="360" w:lineRule="auto"/>
        <w:ind w:firstLine="720"/>
        <w:rPr>
          <w:rFonts w:asciiTheme="majorHAnsi" w:hAnsiTheme="majorHAnsi" w:cstheme="majorHAnsi"/>
        </w:rPr>
      </w:pPr>
      <w:r w:rsidRPr="006B5A1B">
        <w:rPr>
          <w:rFonts w:asciiTheme="majorHAnsi" w:hAnsiTheme="majorHAnsi" w:cstheme="majorHAnsi"/>
        </w:rPr>
        <w:t>Homelessness has an extensive history within the US, with historical records establishing that homelessness predates the founding of the country</w:t>
      </w:r>
      <w:r>
        <w:rPr>
          <w:rFonts w:asciiTheme="majorHAnsi" w:hAnsiTheme="majorHAnsi" w:cstheme="majorHAnsi"/>
        </w:rPr>
        <w:t>.</w:t>
      </w:r>
      <w:proofErr w:type="gramStart"/>
      <w:r w:rsidRPr="006B5A1B">
        <w:rPr>
          <w:rFonts w:asciiTheme="majorHAnsi" w:hAnsiTheme="majorHAnsi" w:cstheme="majorHAnsi"/>
          <w:vertAlign w:val="superscript"/>
        </w:rPr>
        <w:t>1</w:t>
      </w:r>
      <w:r w:rsidRPr="006B5A1B">
        <w:rPr>
          <w:rFonts w:asciiTheme="majorHAnsi" w:hAnsiTheme="majorHAnsi" w:cstheme="majorHAnsi"/>
        </w:rPr>
        <w:t xml:space="preserve">  Throughout</w:t>
      </w:r>
      <w:proofErr w:type="gramEnd"/>
      <w:r w:rsidRPr="006B5A1B">
        <w:rPr>
          <w:rFonts w:asciiTheme="majorHAnsi" w:hAnsiTheme="majorHAnsi" w:cstheme="majorHAnsi"/>
        </w:rPr>
        <w:t xml:space="preserve"> US history, homelessness amongst the US population has surged and receded in response to a variety of factors such as politics and economy.  The US Census</w:t>
      </w:r>
      <w:r>
        <w:rPr>
          <w:rFonts w:asciiTheme="majorHAnsi" w:hAnsiTheme="majorHAnsi" w:cstheme="majorHAnsi"/>
        </w:rPr>
        <w:t xml:space="preserve"> (Census)</w:t>
      </w:r>
      <w:r w:rsidRPr="006B5A1B">
        <w:rPr>
          <w:rFonts w:asciiTheme="majorHAnsi" w:hAnsiTheme="majorHAnsi" w:cstheme="majorHAnsi"/>
        </w:rPr>
        <w:t xml:space="preserve">, started on August 2, 1790, established a national effort to account for those living within the US.  However, the Census did not account for those unhoused.  Following a population boom after the World Wars, a growing need to address housing and urban planning became apparent, leading to </w:t>
      </w:r>
      <w:r w:rsidR="005657DB">
        <w:rPr>
          <w:rFonts w:asciiTheme="majorHAnsi" w:hAnsiTheme="majorHAnsi" w:cstheme="majorHAnsi"/>
        </w:rPr>
        <w:t>the formation of government</w:t>
      </w:r>
      <w:r w:rsidRPr="006B5A1B">
        <w:rPr>
          <w:rFonts w:asciiTheme="majorHAnsi" w:hAnsiTheme="majorHAnsi" w:cstheme="majorHAnsi"/>
        </w:rPr>
        <w:t xml:space="preserve"> agencies such as The Federal Housing Administration in 1934 and The Public Housing Administration.  Still, further coordination was sought, which lead to the establishment of the Department of Housing and Urban Development</w:t>
      </w:r>
      <w:r>
        <w:rPr>
          <w:rFonts w:asciiTheme="majorHAnsi" w:hAnsiTheme="majorHAnsi" w:cstheme="majorHAnsi"/>
        </w:rPr>
        <w:t xml:space="preserve"> (HUD)</w:t>
      </w:r>
      <w:r w:rsidRPr="006B5A1B">
        <w:rPr>
          <w:rFonts w:asciiTheme="majorHAnsi" w:hAnsiTheme="majorHAnsi" w:cstheme="majorHAnsi"/>
        </w:rPr>
        <w:t xml:space="preserve"> in 1965.  </w:t>
      </w:r>
    </w:p>
    <w:p w14:paraId="7A79A4A6" w14:textId="77777777" w:rsidR="00C92EB7" w:rsidRPr="006B5A1B" w:rsidRDefault="00C92EB7" w:rsidP="00DB2754">
      <w:pPr>
        <w:spacing w:line="360" w:lineRule="auto"/>
        <w:ind w:firstLine="720"/>
        <w:rPr>
          <w:rFonts w:asciiTheme="majorHAnsi" w:hAnsiTheme="majorHAnsi" w:cstheme="majorHAnsi"/>
        </w:rPr>
      </w:pPr>
      <w:r>
        <w:rPr>
          <w:rFonts w:asciiTheme="majorHAnsi" w:hAnsiTheme="majorHAnsi" w:cstheme="majorHAnsi"/>
        </w:rPr>
        <w:t>HUD</w:t>
      </w:r>
      <w:r w:rsidRPr="006B5A1B">
        <w:rPr>
          <w:rFonts w:asciiTheme="majorHAnsi" w:hAnsiTheme="majorHAnsi" w:cstheme="majorHAnsi"/>
        </w:rPr>
        <w:t xml:space="preserve"> was created to help unify current programs to address housing in the US.  Through gaining a better understanding of current trends in housing within the US, interest in the unhoused increased, leading to the 1970 Census as the first Census that accounted for unhoused people by recording those living in hotels, motels, homeless shelters</w:t>
      </w:r>
      <w:r>
        <w:rPr>
          <w:rFonts w:asciiTheme="majorHAnsi" w:hAnsiTheme="majorHAnsi" w:cstheme="majorHAnsi"/>
        </w:rPr>
        <w:t>.</w:t>
      </w:r>
      <w:r w:rsidRPr="006B5A1B">
        <w:rPr>
          <w:rFonts w:asciiTheme="majorHAnsi" w:hAnsiTheme="majorHAnsi" w:cstheme="majorHAnsi"/>
          <w:vertAlign w:val="superscript"/>
        </w:rPr>
        <w:t>2</w:t>
      </w:r>
      <w:r w:rsidRPr="006B5A1B">
        <w:rPr>
          <w:rFonts w:asciiTheme="majorHAnsi" w:hAnsiTheme="majorHAnsi" w:cstheme="majorHAnsi"/>
        </w:rPr>
        <w:t xml:space="preserve">  Realizing the need to gain more accurate accounting of the unhoused, the 1980 Census visited areas of high transient populations and homeless encampments.  In evaluating the 1970 and 1980 Census, researchers found that a significant amount of people were not accounted for in 1970.  The analysis of the 1970 and 1980 Census helped frame the severity of homelessness in the US, ultimately leading to the ratification of McKinney</w:t>
      </w:r>
      <w:r>
        <w:rPr>
          <w:rFonts w:asciiTheme="majorHAnsi" w:hAnsiTheme="majorHAnsi" w:cstheme="majorHAnsi"/>
        </w:rPr>
        <w:t>-Vento</w:t>
      </w:r>
      <w:r w:rsidRPr="006B5A1B">
        <w:rPr>
          <w:rFonts w:asciiTheme="majorHAnsi" w:hAnsiTheme="majorHAnsi" w:cstheme="majorHAnsi"/>
        </w:rPr>
        <w:t xml:space="preserve"> Homeless Assistance Act of 1987.  </w:t>
      </w:r>
    </w:p>
    <w:p w14:paraId="27AE757C" w14:textId="2B1B71C3" w:rsidR="00C92EB7" w:rsidRPr="00636610" w:rsidRDefault="00C92EB7" w:rsidP="00DB2754">
      <w:pPr>
        <w:spacing w:line="360" w:lineRule="auto"/>
        <w:ind w:firstLine="720"/>
        <w:rPr>
          <w:rFonts w:asciiTheme="majorHAnsi" w:hAnsiTheme="majorHAnsi" w:cstheme="majorHAnsi"/>
        </w:rPr>
      </w:pPr>
      <w:r w:rsidRPr="00636610">
        <w:rPr>
          <w:rFonts w:asciiTheme="majorHAnsi" w:hAnsiTheme="majorHAnsi" w:cstheme="majorHAnsi"/>
        </w:rPr>
        <w:t>The McKinney-Vento Homeless Assistance Act of 1987 is widely considered the first significant federal legislative action that directly addressed homelessness in the US</w:t>
      </w:r>
      <w:r>
        <w:rPr>
          <w:rFonts w:asciiTheme="majorHAnsi" w:hAnsiTheme="majorHAnsi" w:cstheme="majorHAnsi"/>
        </w:rPr>
        <w:t>.</w:t>
      </w:r>
      <w:proofErr w:type="gramStart"/>
      <w:r w:rsidRPr="00636610">
        <w:rPr>
          <w:rFonts w:asciiTheme="majorHAnsi" w:hAnsiTheme="majorHAnsi" w:cstheme="majorHAnsi"/>
          <w:vertAlign w:val="superscript"/>
        </w:rPr>
        <w:t>3</w:t>
      </w:r>
      <w:r w:rsidRPr="00636610">
        <w:rPr>
          <w:rFonts w:asciiTheme="majorHAnsi" w:hAnsiTheme="majorHAnsi" w:cstheme="majorHAnsi"/>
        </w:rPr>
        <w:t xml:space="preserve">  The</w:t>
      </w:r>
      <w:proofErr w:type="gramEnd"/>
      <w:r w:rsidRPr="00636610">
        <w:rPr>
          <w:rFonts w:asciiTheme="majorHAnsi" w:hAnsiTheme="majorHAnsi" w:cstheme="majorHAnsi"/>
        </w:rPr>
        <w:t xml:space="preserve"> </w:t>
      </w:r>
      <w:r>
        <w:rPr>
          <w:rFonts w:asciiTheme="majorHAnsi" w:hAnsiTheme="majorHAnsi" w:cstheme="majorHAnsi"/>
        </w:rPr>
        <w:t>a</w:t>
      </w:r>
      <w:r w:rsidRPr="00636610">
        <w:rPr>
          <w:rFonts w:asciiTheme="majorHAnsi" w:hAnsiTheme="majorHAnsi" w:cstheme="majorHAnsi"/>
        </w:rPr>
        <w:t xml:space="preserve">ct established the United States Interagency Council on Homelessness, which partners with a variety of local, state, and federal agencies to provide assessment and strategic planning to address homelessness.  </w:t>
      </w:r>
      <w:r w:rsidR="005657DB">
        <w:rPr>
          <w:rFonts w:asciiTheme="majorHAnsi" w:hAnsiTheme="majorHAnsi" w:cstheme="majorHAnsi"/>
        </w:rPr>
        <w:t>The act</w:t>
      </w:r>
      <w:r w:rsidRPr="00636610">
        <w:rPr>
          <w:rFonts w:asciiTheme="majorHAnsi" w:hAnsiTheme="majorHAnsi" w:cstheme="majorHAnsi"/>
        </w:rPr>
        <w:t xml:space="preserve"> also created programs such as the Supportive Housing Program, the Shelter Plus Care Program, the Single Room Occupancy Program, the Emergency Shelter Grant Program</w:t>
      </w:r>
      <w:r w:rsidR="005657DB">
        <w:rPr>
          <w:rFonts w:asciiTheme="majorHAnsi" w:hAnsiTheme="majorHAnsi" w:cstheme="majorHAnsi"/>
        </w:rPr>
        <w:t>,</w:t>
      </w:r>
      <w:r w:rsidRPr="00636610">
        <w:rPr>
          <w:rFonts w:asciiTheme="majorHAnsi" w:hAnsiTheme="majorHAnsi" w:cstheme="majorHAnsi"/>
        </w:rPr>
        <w:t xml:space="preserve"> and the Education for Homeless Children and Youth (EHCY) Program.  The EHCY Program is important to youth homelessness</w:t>
      </w:r>
      <w:r w:rsidR="005657DB">
        <w:rPr>
          <w:rFonts w:asciiTheme="majorHAnsi" w:hAnsiTheme="majorHAnsi" w:cstheme="majorHAnsi"/>
        </w:rPr>
        <w:t xml:space="preserve"> because</w:t>
      </w:r>
      <w:r w:rsidRPr="00636610">
        <w:rPr>
          <w:rFonts w:asciiTheme="majorHAnsi" w:hAnsiTheme="majorHAnsi" w:cstheme="majorHAnsi"/>
        </w:rPr>
        <w:t xml:space="preserve"> it requires states to </w:t>
      </w:r>
      <w:proofErr w:type="gramStart"/>
      <w:r w:rsidRPr="00636610">
        <w:rPr>
          <w:rFonts w:asciiTheme="majorHAnsi" w:hAnsiTheme="majorHAnsi" w:cstheme="majorHAnsi"/>
        </w:rPr>
        <w:t>review</w:t>
      </w:r>
      <w:proofErr w:type="gramEnd"/>
      <w:r w:rsidRPr="00636610">
        <w:rPr>
          <w:rFonts w:asciiTheme="majorHAnsi" w:hAnsiTheme="majorHAnsi" w:cstheme="majorHAnsi"/>
        </w:rPr>
        <w:t xml:space="preserve"> and revise polices to ensure the immediate school enrollment of homeless children and youth and provides funding to support academic success.  </w:t>
      </w:r>
      <w:r w:rsidR="005657DB">
        <w:rPr>
          <w:rFonts w:asciiTheme="majorHAnsi" w:hAnsiTheme="majorHAnsi" w:cstheme="majorHAnsi"/>
        </w:rPr>
        <w:t xml:space="preserve">In monitoring compliance of EHCY, </w:t>
      </w:r>
      <w:r w:rsidRPr="00636610">
        <w:rPr>
          <w:rFonts w:asciiTheme="majorHAnsi" w:hAnsiTheme="majorHAnsi" w:cstheme="majorHAnsi"/>
        </w:rPr>
        <w:t xml:space="preserve">The </w:t>
      </w:r>
      <w:r w:rsidRPr="00636610">
        <w:rPr>
          <w:rFonts w:asciiTheme="majorHAnsi" w:hAnsiTheme="majorHAnsi" w:cstheme="majorHAnsi"/>
        </w:rPr>
        <w:lastRenderedPageBreak/>
        <w:t>National Center for Homeless Education (NCHE) was established in 1997</w:t>
      </w:r>
      <w:r w:rsidR="005657DB">
        <w:rPr>
          <w:rFonts w:asciiTheme="majorHAnsi" w:hAnsiTheme="majorHAnsi" w:cstheme="majorHAnsi"/>
        </w:rPr>
        <w:t xml:space="preserve"> to provide centralized data tracking</w:t>
      </w:r>
      <w:r w:rsidRPr="00636610">
        <w:rPr>
          <w:rFonts w:asciiTheme="majorHAnsi" w:hAnsiTheme="majorHAnsi" w:cstheme="majorHAnsi"/>
        </w:rPr>
        <w:t>.</w:t>
      </w:r>
    </w:p>
    <w:p w14:paraId="6ADDCF37" w14:textId="179D3726" w:rsidR="00C92EB7" w:rsidRPr="00636610" w:rsidRDefault="00C92EB7" w:rsidP="00DB2754">
      <w:pPr>
        <w:spacing w:line="360" w:lineRule="auto"/>
        <w:ind w:firstLine="720"/>
        <w:rPr>
          <w:rFonts w:asciiTheme="majorHAnsi" w:hAnsiTheme="majorHAnsi" w:cstheme="majorHAnsi"/>
        </w:rPr>
      </w:pPr>
      <w:proofErr w:type="gramStart"/>
      <w:r w:rsidRPr="00636610">
        <w:rPr>
          <w:rFonts w:asciiTheme="majorHAnsi" w:hAnsiTheme="majorHAnsi" w:cstheme="majorHAnsi"/>
        </w:rPr>
        <w:t>The NCHE,</w:t>
      </w:r>
      <w:proofErr w:type="gramEnd"/>
      <w:r w:rsidRPr="00636610">
        <w:rPr>
          <w:rFonts w:asciiTheme="majorHAnsi" w:hAnsiTheme="majorHAnsi" w:cstheme="majorHAnsi"/>
        </w:rPr>
        <w:t xml:space="preserve"> operates the US Department of Education’s technical assistance and information center, which compiles data for the federal education for EHCY program.  Although the data has some limitations, most significant being reliance on public school settings and point in time methodology of data collection, the NCHE data provides the best information on youth experiencing homelessness</w:t>
      </w:r>
      <w:r>
        <w:rPr>
          <w:rFonts w:asciiTheme="majorHAnsi" w:hAnsiTheme="majorHAnsi" w:cstheme="majorHAnsi"/>
        </w:rPr>
        <w:t>.</w:t>
      </w:r>
      <w:r w:rsidRPr="00636610">
        <w:rPr>
          <w:rFonts w:asciiTheme="majorHAnsi" w:hAnsiTheme="majorHAnsi" w:cstheme="majorHAnsi"/>
          <w:vertAlign w:val="superscript"/>
        </w:rPr>
        <w:t>1</w:t>
      </w:r>
      <w:r w:rsidRPr="00636610">
        <w:rPr>
          <w:rFonts w:asciiTheme="majorHAnsi" w:hAnsiTheme="majorHAnsi" w:cstheme="majorHAnsi"/>
        </w:rPr>
        <w:t xml:space="preserve">  In </w:t>
      </w:r>
      <w:r w:rsidR="005657DB">
        <w:rPr>
          <w:rFonts w:asciiTheme="majorHAnsi" w:hAnsiTheme="majorHAnsi" w:cstheme="majorHAnsi"/>
        </w:rPr>
        <w:t xml:space="preserve">reviewing recent data </w:t>
      </w:r>
      <w:proofErr w:type="spellStart"/>
      <w:r w:rsidR="005657DB">
        <w:rPr>
          <w:rFonts w:asciiTheme="majorHAnsi" w:hAnsiTheme="majorHAnsi" w:cstheme="majorHAnsi"/>
        </w:rPr>
        <w:t>complied</w:t>
      </w:r>
      <w:proofErr w:type="spellEnd"/>
      <w:r w:rsidR="005657DB">
        <w:rPr>
          <w:rFonts w:asciiTheme="majorHAnsi" w:hAnsiTheme="majorHAnsi" w:cstheme="majorHAnsi"/>
        </w:rPr>
        <w:t xml:space="preserve"> by NCHE for the</w:t>
      </w:r>
      <w:r w:rsidRPr="00636610">
        <w:rPr>
          <w:rFonts w:asciiTheme="majorHAnsi" w:hAnsiTheme="majorHAnsi" w:cstheme="majorHAnsi"/>
        </w:rPr>
        <w:t xml:space="preserve"> school year (SY) 2021-22, public schools identified 1,205,292 students who experienced homelessness, which represents 2.4% of all students enrolled in public schools.  Between SYs 2004-05 and 2021-22, the number of students who experienced homelessness increased by 79%, representing an average of 4% annually increase.</w:t>
      </w:r>
      <w:proofErr w:type="gramStart"/>
      <w:r>
        <w:rPr>
          <w:rFonts w:asciiTheme="majorHAnsi" w:hAnsiTheme="majorHAnsi" w:cstheme="majorHAnsi"/>
          <w:vertAlign w:val="superscript"/>
        </w:rPr>
        <w:t>4</w:t>
      </w:r>
      <w:r w:rsidRPr="00636610">
        <w:rPr>
          <w:rFonts w:asciiTheme="majorHAnsi" w:hAnsiTheme="majorHAnsi" w:cstheme="majorHAnsi"/>
        </w:rPr>
        <w:t xml:space="preserve">  In</w:t>
      </w:r>
      <w:proofErr w:type="gramEnd"/>
      <w:r w:rsidRPr="00636610">
        <w:rPr>
          <w:rFonts w:asciiTheme="majorHAnsi" w:hAnsiTheme="majorHAnsi" w:cstheme="majorHAnsi"/>
        </w:rPr>
        <w:t xml:space="preserve"> reflecting upon the historically flat trends in homelessness over the last decade</w:t>
      </w:r>
      <w:r>
        <w:rPr>
          <w:rFonts w:asciiTheme="majorHAnsi" w:hAnsiTheme="majorHAnsi" w:cstheme="majorHAnsi"/>
          <w:vertAlign w:val="superscript"/>
        </w:rPr>
        <w:t>5</w:t>
      </w:r>
      <w:r w:rsidRPr="00636610">
        <w:rPr>
          <w:rFonts w:asciiTheme="majorHAnsi" w:hAnsiTheme="majorHAnsi" w:cstheme="majorHAnsi"/>
        </w:rPr>
        <w:t>, despite millions of dollars spent on, one can begin to grasp the extent of the problem</w:t>
      </w:r>
      <w:r>
        <w:rPr>
          <w:rFonts w:asciiTheme="majorHAnsi" w:hAnsiTheme="majorHAnsi" w:cstheme="majorHAnsi"/>
        </w:rPr>
        <w:t xml:space="preserve"> of youth homelessness</w:t>
      </w:r>
      <w:r w:rsidRPr="00636610">
        <w:rPr>
          <w:rFonts w:asciiTheme="majorHAnsi" w:hAnsiTheme="majorHAnsi" w:cstheme="majorHAnsi"/>
        </w:rPr>
        <w:t xml:space="preserve">.  </w:t>
      </w:r>
    </w:p>
    <w:p w14:paraId="32788BBB" w14:textId="77777777" w:rsidR="00C92EB7" w:rsidRPr="006B5A1B" w:rsidRDefault="00C92EB7" w:rsidP="00DB2754">
      <w:pPr>
        <w:pStyle w:val="Default"/>
        <w:spacing w:line="360" w:lineRule="auto"/>
        <w:rPr>
          <w:rFonts w:asciiTheme="majorHAnsi" w:hAnsiTheme="majorHAnsi" w:cstheme="majorHAnsi"/>
          <w:color w:val="auto"/>
        </w:rPr>
      </w:pPr>
      <w:r w:rsidRPr="006B5A1B">
        <w:rPr>
          <w:rFonts w:asciiTheme="majorHAnsi" w:hAnsiTheme="majorHAnsi" w:cstheme="majorHAnsi"/>
          <w:b/>
          <w:bCs/>
          <w:color w:val="auto"/>
        </w:rPr>
        <w:t xml:space="preserve">Methods </w:t>
      </w:r>
    </w:p>
    <w:p w14:paraId="55956032" w14:textId="77777777" w:rsidR="00C92EB7" w:rsidRPr="006B5A1B" w:rsidRDefault="00C92EB7" w:rsidP="00DB2754">
      <w:pPr>
        <w:pStyle w:val="Default"/>
        <w:spacing w:line="360" w:lineRule="auto"/>
        <w:rPr>
          <w:rFonts w:asciiTheme="majorHAnsi" w:hAnsiTheme="majorHAnsi" w:cstheme="majorHAnsi"/>
          <w:b/>
          <w:bCs/>
          <w:color w:val="auto"/>
        </w:rPr>
      </w:pPr>
      <w:r w:rsidRPr="006B5A1B">
        <w:rPr>
          <w:rFonts w:asciiTheme="majorHAnsi" w:hAnsiTheme="majorHAnsi" w:cstheme="majorHAnsi"/>
          <w:b/>
          <w:bCs/>
          <w:color w:val="auto"/>
        </w:rPr>
        <w:t>Design and Setting</w:t>
      </w:r>
    </w:p>
    <w:p w14:paraId="5E984125" w14:textId="1A87C624" w:rsidR="00C92EB7" w:rsidRPr="006B5A1B" w:rsidRDefault="00C92EB7" w:rsidP="00DB2754">
      <w:pPr>
        <w:spacing w:line="360" w:lineRule="auto"/>
        <w:rPr>
          <w:rFonts w:asciiTheme="majorHAnsi" w:hAnsiTheme="majorHAnsi" w:cstheme="majorHAnsi"/>
        </w:rPr>
      </w:pPr>
      <w:r w:rsidRPr="006B5A1B">
        <w:rPr>
          <w:rFonts w:asciiTheme="majorHAnsi" w:hAnsiTheme="majorHAnsi" w:cstheme="majorHAnsi"/>
        </w:rPr>
        <w:tab/>
        <w:t xml:space="preserve">The objective of this </w:t>
      </w:r>
      <w:r w:rsidR="005657DB">
        <w:rPr>
          <w:rFonts w:asciiTheme="majorHAnsi" w:hAnsiTheme="majorHAnsi" w:cstheme="majorHAnsi"/>
        </w:rPr>
        <w:t>research project is</w:t>
      </w:r>
      <w:r w:rsidRPr="006B5A1B">
        <w:rPr>
          <w:rFonts w:asciiTheme="majorHAnsi" w:hAnsiTheme="majorHAnsi" w:cstheme="majorHAnsi"/>
          <w:b/>
          <w:bCs/>
        </w:rPr>
        <w:t xml:space="preserve"> </w:t>
      </w:r>
      <w:r w:rsidRPr="006B5A1B">
        <w:rPr>
          <w:rFonts w:asciiTheme="majorHAnsi" w:hAnsiTheme="majorHAnsi" w:cstheme="majorHAnsi"/>
        </w:rPr>
        <w:t xml:space="preserve">to acquire and disseminate information on </w:t>
      </w:r>
      <w:r>
        <w:rPr>
          <w:rFonts w:asciiTheme="majorHAnsi" w:hAnsiTheme="majorHAnsi" w:cstheme="majorHAnsi"/>
        </w:rPr>
        <w:t xml:space="preserve">risk factors, outcomes, </w:t>
      </w:r>
      <w:r w:rsidRPr="006B5A1B">
        <w:rPr>
          <w:rFonts w:asciiTheme="majorHAnsi" w:hAnsiTheme="majorHAnsi" w:cstheme="majorHAnsi"/>
        </w:rPr>
        <w:t xml:space="preserve">interventions, </w:t>
      </w:r>
      <w:r>
        <w:rPr>
          <w:rFonts w:asciiTheme="majorHAnsi" w:hAnsiTheme="majorHAnsi" w:cstheme="majorHAnsi"/>
        </w:rPr>
        <w:t xml:space="preserve">and government </w:t>
      </w:r>
      <w:r w:rsidRPr="006B5A1B">
        <w:rPr>
          <w:rFonts w:asciiTheme="majorHAnsi" w:hAnsiTheme="majorHAnsi" w:cstheme="majorHAnsi"/>
        </w:rPr>
        <w:t>policies</w:t>
      </w:r>
      <w:r>
        <w:rPr>
          <w:rFonts w:asciiTheme="majorHAnsi" w:hAnsiTheme="majorHAnsi" w:cstheme="majorHAnsi"/>
        </w:rPr>
        <w:t xml:space="preserve"> and programs </w:t>
      </w:r>
      <w:r w:rsidRPr="006B5A1B">
        <w:rPr>
          <w:rFonts w:asciiTheme="majorHAnsi" w:hAnsiTheme="majorHAnsi" w:cstheme="majorHAnsi"/>
        </w:rPr>
        <w:t xml:space="preserve">impacting </w:t>
      </w:r>
      <w:r>
        <w:rPr>
          <w:rFonts w:asciiTheme="majorHAnsi" w:hAnsiTheme="majorHAnsi" w:cstheme="majorHAnsi"/>
        </w:rPr>
        <w:t>YEH</w:t>
      </w:r>
      <w:r w:rsidRPr="006B5A1B">
        <w:rPr>
          <w:rFonts w:asciiTheme="majorHAnsi" w:hAnsiTheme="majorHAnsi" w:cstheme="majorHAnsi"/>
        </w:rPr>
        <w:t xml:space="preserve">.  Given the broad scope of topics, clear definitions must be established to maintain </w:t>
      </w:r>
      <w:r w:rsidR="005657DB">
        <w:rPr>
          <w:rFonts w:asciiTheme="majorHAnsi" w:hAnsiTheme="majorHAnsi" w:cstheme="majorHAnsi"/>
        </w:rPr>
        <w:t>accurate and reliable</w:t>
      </w:r>
      <w:r w:rsidRPr="006B5A1B">
        <w:rPr>
          <w:rFonts w:asciiTheme="majorHAnsi" w:hAnsiTheme="majorHAnsi" w:cstheme="majorHAnsi"/>
        </w:rPr>
        <w:t xml:space="preserve"> results.  In recognizing the variations in defining homelessness and </w:t>
      </w:r>
      <w:proofErr w:type="gramStart"/>
      <w:r w:rsidRPr="006B5A1B">
        <w:rPr>
          <w:rFonts w:asciiTheme="majorHAnsi" w:hAnsiTheme="majorHAnsi" w:cstheme="majorHAnsi"/>
        </w:rPr>
        <w:t>to align</w:t>
      </w:r>
      <w:proofErr w:type="gramEnd"/>
      <w:r w:rsidRPr="006B5A1B">
        <w:rPr>
          <w:rFonts w:asciiTheme="majorHAnsi" w:hAnsiTheme="majorHAnsi" w:cstheme="majorHAnsi"/>
        </w:rPr>
        <w:t xml:space="preserve"> with available public data definitions, this practicum will utilize homelessness as defined under the McKinney-Vento Homeless Assistance Act.  The McKinney-Vento Homeless Assistance Act defines homelessness as</w:t>
      </w:r>
      <w:r>
        <w:rPr>
          <w:rFonts w:asciiTheme="majorHAnsi" w:hAnsiTheme="majorHAnsi" w:cstheme="majorHAnsi"/>
        </w:rPr>
        <w:t>,</w:t>
      </w:r>
      <w:r w:rsidRPr="006B5A1B">
        <w:rPr>
          <w:rFonts w:asciiTheme="majorHAnsi" w:hAnsiTheme="majorHAnsi" w:cstheme="majorHAnsi"/>
        </w:rPr>
        <w:t xml:space="preserve"> “those lacking a fixed, regular, and adequate nighttime residence or having a nighttime residence that is a publicly or privately operated shelter, a public or private place that provides temporary residence for those intended to be institutionalized, or a public or private place not designed for use as a regular sleeping accommodation for human beings”</w:t>
      </w:r>
      <w:r>
        <w:rPr>
          <w:rFonts w:asciiTheme="majorHAnsi" w:hAnsiTheme="majorHAnsi" w:cstheme="majorHAnsi"/>
        </w:rPr>
        <w:t>.</w:t>
      </w:r>
      <w:r w:rsidR="00387D48">
        <w:rPr>
          <w:rFonts w:asciiTheme="majorHAnsi" w:hAnsiTheme="majorHAnsi" w:cstheme="majorHAnsi"/>
          <w:vertAlign w:val="superscript"/>
        </w:rPr>
        <w:t>6</w:t>
      </w:r>
      <w:r w:rsidRPr="006B5A1B">
        <w:rPr>
          <w:rFonts w:asciiTheme="majorHAnsi" w:hAnsiTheme="majorHAnsi" w:cstheme="majorHAnsi"/>
        </w:rPr>
        <w:t xml:space="preserve">  As this </w:t>
      </w:r>
      <w:r w:rsidR="005657DB">
        <w:rPr>
          <w:rFonts w:asciiTheme="majorHAnsi" w:hAnsiTheme="majorHAnsi" w:cstheme="majorHAnsi"/>
        </w:rPr>
        <w:t>research</w:t>
      </w:r>
      <w:r w:rsidRPr="006B5A1B">
        <w:rPr>
          <w:rFonts w:asciiTheme="majorHAnsi" w:hAnsiTheme="majorHAnsi" w:cstheme="majorHAnsi"/>
        </w:rPr>
        <w:t xml:space="preserve"> focuses specifically on youth homelessness, youth must also be defined.  </w:t>
      </w:r>
    </w:p>
    <w:p w14:paraId="12080043" w14:textId="38CDC486" w:rsidR="00C92EB7" w:rsidRPr="006B5A1B" w:rsidRDefault="00C92EB7" w:rsidP="00DB2754">
      <w:pPr>
        <w:pStyle w:val="Default"/>
        <w:spacing w:line="360" w:lineRule="auto"/>
        <w:rPr>
          <w:rFonts w:asciiTheme="majorHAnsi" w:hAnsiTheme="majorHAnsi" w:cstheme="majorHAnsi"/>
          <w:color w:val="auto"/>
        </w:rPr>
      </w:pPr>
      <w:r w:rsidRPr="006B5A1B">
        <w:rPr>
          <w:rFonts w:asciiTheme="majorHAnsi" w:hAnsiTheme="majorHAnsi" w:cstheme="majorHAnsi"/>
          <w:color w:val="auto"/>
        </w:rPr>
        <w:tab/>
        <w:t xml:space="preserve">A variety of definitions are used to define youth, however in aligning with the chosen definition of homelessness taken from the McKinney-Vento Homeless Assistance Act, this practicum project explored definitions of youth found throughout government agencies and programs.  The </w:t>
      </w:r>
      <w:r>
        <w:rPr>
          <w:rFonts w:asciiTheme="majorHAnsi" w:hAnsiTheme="majorHAnsi" w:cstheme="majorHAnsi"/>
          <w:color w:val="auto"/>
        </w:rPr>
        <w:t>US Department of Health and Human Services (</w:t>
      </w:r>
      <w:r w:rsidRPr="006B5A1B">
        <w:rPr>
          <w:rFonts w:asciiTheme="majorHAnsi" w:hAnsiTheme="majorHAnsi" w:cstheme="majorHAnsi"/>
          <w:color w:val="auto"/>
        </w:rPr>
        <w:t>HHS</w:t>
      </w:r>
      <w:r>
        <w:rPr>
          <w:rFonts w:asciiTheme="majorHAnsi" w:hAnsiTheme="majorHAnsi" w:cstheme="majorHAnsi"/>
          <w:color w:val="auto"/>
        </w:rPr>
        <w:t>)</w:t>
      </w:r>
      <w:r w:rsidRPr="006B5A1B">
        <w:rPr>
          <w:rFonts w:asciiTheme="majorHAnsi" w:hAnsiTheme="majorHAnsi" w:cstheme="majorHAnsi"/>
          <w:color w:val="auto"/>
        </w:rPr>
        <w:t xml:space="preserve"> varies its definition of youth, even when specifically referring to homeless youth.  Several programs within HHS define </w:t>
      </w:r>
      <w:r w:rsidRPr="006B5A1B">
        <w:rPr>
          <w:rFonts w:asciiTheme="majorHAnsi" w:hAnsiTheme="majorHAnsi" w:cstheme="majorHAnsi"/>
          <w:color w:val="auto"/>
        </w:rPr>
        <w:lastRenderedPageBreak/>
        <w:t xml:space="preserve">homeless youth for the purpose of determining qualification in programs such as Basic Center Program (BCP) eligibility and the Transitional Living Program (TLP), that set age limits to less than 18 years of age and less than 22 years of age respectively.  The HHS does offer a broader term of </w:t>
      </w:r>
      <w:r w:rsidRPr="006B5A1B">
        <w:rPr>
          <w:rFonts w:asciiTheme="majorHAnsi" w:eastAsiaTheme="majorEastAsia" w:hAnsiTheme="majorHAnsi" w:cstheme="majorHAnsi"/>
          <w:color w:val="auto"/>
        </w:rPr>
        <w:t>homeless yo</w:t>
      </w:r>
      <w:r w:rsidRPr="006B5A1B">
        <w:rPr>
          <w:rStyle w:val="Strong"/>
          <w:rFonts w:asciiTheme="majorHAnsi" w:eastAsiaTheme="majorEastAsia" w:hAnsiTheme="majorHAnsi" w:cstheme="majorHAnsi"/>
          <w:b w:val="0"/>
          <w:bCs w:val="0"/>
          <w:color w:val="auto"/>
        </w:rPr>
        <w:t>uth</w:t>
      </w:r>
      <w:r w:rsidRPr="006B5A1B">
        <w:rPr>
          <w:rStyle w:val="Strong"/>
          <w:rFonts w:asciiTheme="majorHAnsi" w:eastAsiaTheme="majorEastAsia" w:hAnsiTheme="majorHAnsi" w:cstheme="majorHAnsi"/>
          <w:color w:val="auto"/>
        </w:rPr>
        <w:t xml:space="preserve"> </w:t>
      </w:r>
      <w:r w:rsidRPr="006B5A1B">
        <w:rPr>
          <w:rFonts w:asciiTheme="majorHAnsi" w:hAnsiTheme="majorHAnsi" w:cstheme="majorHAnsi"/>
          <w:color w:val="auto"/>
          <w:shd w:val="clear" w:color="auto" w:fill="FFFFFF"/>
        </w:rPr>
        <w:t>as, “individual (not more than 21 years of age) who cannot live safely with a parent, legal guardian, or relative, and who has no other safe alternative living arrangement”</w:t>
      </w:r>
      <w:r w:rsidR="00387D48">
        <w:rPr>
          <w:rFonts w:asciiTheme="majorHAnsi" w:hAnsiTheme="majorHAnsi" w:cstheme="majorHAnsi"/>
          <w:color w:val="auto"/>
          <w:shd w:val="clear" w:color="auto" w:fill="FFFFFF"/>
          <w:vertAlign w:val="superscript"/>
        </w:rPr>
        <w:t>7</w:t>
      </w:r>
      <w:r w:rsidRPr="006B5A1B">
        <w:rPr>
          <w:rFonts w:asciiTheme="majorHAnsi" w:hAnsiTheme="majorHAnsi" w:cstheme="majorHAnsi"/>
          <w:color w:val="auto"/>
          <w:shd w:val="clear" w:color="auto" w:fill="FFFFFF"/>
        </w:rPr>
        <w:t>.  In cross referencing the term youth</w:t>
      </w:r>
      <w:r w:rsidR="005657DB">
        <w:rPr>
          <w:rFonts w:asciiTheme="majorHAnsi" w:hAnsiTheme="majorHAnsi" w:cstheme="majorHAnsi"/>
          <w:color w:val="auto"/>
          <w:shd w:val="clear" w:color="auto" w:fill="FFFFFF"/>
        </w:rPr>
        <w:t xml:space="preserve">, </w:t>
      </w:r>
      <w:r w:rsidRPr="006B5A1B">
        <w:rPr>
          <w:rFonts w:asciiTheme="majorHAnsi" w:hAnsiTheme="majorHAnsi" w:cstheme="majorHAnsi"/>
          <w:color w:val="auto"/>
          <w:shd w:val="clear" w:color="auto" w:fill="FFFFFF"/>
        </w:rPr>
        <w:t>child</w:t>
      </w:r>
      <w:r w:rsidR="005657DB">
        <w:rPr>
          <w:rFonts w:asciiTheme="majorHAnsi" w:hAnsiTheme="majorHAnsi" w:cstheme="majorHAnsi"/>
          <w:color w:val="auto"/>
          <w:shd w:val="clear" w:color="auto" w:fill="FFFFFF"/>
        </w:rPr>
        <w:t>, or similar terms</w:t>
      </w:r>
      <w:r w:rsidRPr="006B5A1B">
        <w:rPr>
          <w:rFonts w:asciiTheme="majorHAnsi" w:hAnsiTheme="majorHAnsi" w:cstheme="majorHAnsi"/>
          <w:color w:val="auto"/>
          <w:shd w:val="clear" w:color="auto" w:fill="FFFFFF"/>
        </w:rPr>
        <w:t xml:space="preserve"> within Census definitions, </w:t>
      </w:r>
      <w:r w:rsidRPr="006B5A1B">
        <w:rPr>
          <w:rFonts w:asciiTheme="majorHAnsi" w:hAnsiTheme="majorHAnsi" w:cstheme="majorHAnsi"/>
          <w:color w:val="auto"/>
        </w:rPr>
        <w:t>the term "children," as used in tables on living arrangements of children under 18, includes all persons under 18 years, excluding people who maintain households, families, or subfamilies as a reference person or spouse</w:t>
      </w:r>
      <w:r w:rsidR="006B6263">
        <w:rPr>
          <w:rFonts w:asciiTheme="majorHAnsi" w:hAnsiTheme="majorHAnsi" w:cstheme="majorHAnsi"/>
          <w:color w:val="auto"/>
        </w:rPr>
        <w:t>.</w:t>
      </w:r>
      <w:r w:rsidR="00387D48">
        <w:rPr>
          <w:rFonts w:asciiTheme="majorHAnsi" w:hAnsiTheme="majorHAnsi" w:cstheme="majorHAnsi"/>
          <w:color w:val="auto"/>
          <w:vertAlign w:val="superscript"/>
        </w:rPr>
        <w:t>8</w:t>
      </w:r>
      <w:r w:rsidRPr="006B5A1B">
        <w:rPr>
          <w:rFonts w:asciiTheme="majorHAnsi" w:hAnsiTheme="majorHAnsi" w:cstheme="majorHAnsi"/>
          <w:color w:val="auto"/>
        </w:rPr>
        <w:t xml:space="preserve">  </w:t>
      </w:r>
      <w:r w:rsidRPr="006B5A1B">
        <w:rPr>
          <w:rFonts w:asciiTheme="majorHAnsi" w:eastAsia="Times New Roman" w:hAnsiTheme="majorHAnsi" w:cstheme="majorHAnsi"/>
          <w:color w:val="auto"/>
        </w:rPr>
        <w:t>Within</w:t>
      </w:r>
      <w:r w:rsidRPr="006B5A1B">
        <w:rPr>
          <w:rFonts w:asciiTheme="majorHAnsi" w:hAnsiTheme="majorHAnsi" w:cstheme="majorHAnsi"/>
          <w:color w:val="auto"/>
        </w:rPr>
        <w:t xml:space="preserve"> HUD’s Point-in-Time (PIT) data collection, unaccompanied </w:t>
      </w:r>
      <w:r w:rsidR="006B6263">
        <w:rPr>
          <w:rFonts w:asciiTheme="majorHAnsi" w:hAnsiTheme="majorHAnsi" w:cstheme="majorHAnsi"/>
          <w:color w:val="auto"/>
        </w:rPr>
        <w:t xml:space="preserve">homeless </w:t>
      </w:r>
      <w:r w:rsidRPr="006B5A1B">
        <w:rPr>
          <w:rFonts w:asciiTheme="majorHAnsi" w:hAnsiTheme="majorHAnsi" w:cstheme="majorHAnsi"/>
          <w:color w:val="auto"/>
        </w:rPr>
        <w:t>youth are classified as people under the age of 25 who are experiencing homelessness as individuals, that is, without a parent or guardian present or as a young parent with children</w:t>
      </w:r>
      <w:r w:rsidR="006B6263">
        <w:rPr>
          <w:rFonts w:asciiTheme="majorHAnsi" w:hAnsiTheme="majorHAnsi" w:cstheme="majorHAnsi"/>
          <w:color w:val="auto"/>
        </w:rPr>
        <w:t>.</w:t>
      </w:r>
      <w:r>
        <w:rPr>
          <w:rFonts w:asciiTheme="majorHAnsi" w:hAnsiTheme="majorHAnsi" w:cstheme="majorHAnsi"/>
          <w:color w:val="auto"/>
          <w:vertAlign w:val="superscript"/>
        </w:rPr>
        <w:t>1</w:t>
      </w:r>
      <w:r w:rsidRPr="006B5A1B">
        <w:rPr>
          <w:rFonts w:asciiTheme="majorHAnsi" w:hAnsiTheme="majorHAnsi" w:cstheme="majorHAnsi"/>
          <w:color w:val="auto"/>
        </w:rPr>
        <w:t xml:space="preserve">  Given the overlapping definitions and to be as inclusive in the definition of youth, youth will be established as those under the age of 25 for the purpose of this </w:t>
      </w:r>
      <w:r w:rsidR="006B6263">
        <w:rPr>
          <w:rFonts w:asciiTheme="majorHAnsi" w:hAnsiTheme="majorHAnsi" w:cstheme="majorHAnsi"/>
          <w:color w:val="auto"/>
        </w:rPr>
        <w:t>research project</w:t>
      </w:r>
      <w:r w:rsidRPr="006B5A1B">
        <w:rPr>
          <w:rFonts w:asciiTheme="majorHAnsi" w:hAnsiTheme="majorHAnsi" w:cstheme="majorHAnsi"/>
          <w:color w:val="auto"/>
        </w:rPr>
        <w:t>.  After defining youth, the topic</w:t>
      </w:r>
      <w:r w:rsidR="006B6263">
        <w:rPr>
          <w:rFonts w:asciiTheme="majorHAnsi" w:hAnsiTheme="majorHAnsi" w:cstheme="majorHAnsi"/>
          <w:color w:val="auto"/>
        </w:rPr>
        <w:t>s</w:t>
      </w:r>
      <w:r w:rsidRPr="006B5A1B">
        <w:rPr>
          <w:rFonts w:asciiTheme="majorHAnsi" w:hAnsiTheme="majorHAnsi" w:cstheme="majorHAnsi"/>
          <w:color w:val="auto"/>
        </w:rPr>
        <w:t xml:space="preserve"> of interest, risk factors,</w:t>
      </w:r>
      <w:r w:rsidR="006B6263">
        <w:rPr>
          <w:rFonts w:asciiTheme="majorHAnsi" w:hAnsiTheme="majorHAnsi" w:cstheme="majorHAnsi"/>
          <w:color w:val="auto"/>
        </w:rPr>
        <w:t xml:space="preserve"> outcomes, interventions, and </w:t>
      </w:r>
      <w:r w:rsidR="006B6263">
        <w:rPr>
          <w:rFonts w:asciiTheme="majorHAnsi" w:hAnsiTheme="majorHAnsi" w:cstheme="majorHAnsi"/>
        </w:rPr>
        <w:t xml:space="preserve">government </w:t>
      </w:r>
      <w:r w:rsidR="006B6263" w:rsidRPr="006B5A1B">
        <w:rPr>
          <w:rFonts w:asciiTheme="majorHAnsi" w:hAnsiTheme="majorHAnsi" w:cstheme="majorHAnsi"/>
        </w:rPr>
        <w:t>policies</w:t>
      </w:r>
      <w:r w:rsidR="006B6263">
        <w:rPr>
          <w:rFonts w:asciiTheme="majorHAnsi" w:hAnsiTheme="majorHAnsi" w:cstheme="majorHAnsi"/>
        </w:rPr>
        <w:t xml:space="preserve"> and programs</w:t>
      </w:r>
      <w:r w:rsidRPr="006B5A1B">
        <w:rPr>
          <w:rFonts w:asciiTheme="majorHAnsi" w:hAnsiTheme="majorHAnsi" w:cstheme="majorHAnsi"/>
          <w:color w:val="auto"/>
        </w:rPr>
        <w:t xml:space="preserve"> must be defined.</w:t>
      </w:r>
    </w:p>
    <w:p w14:paraId="57FEB952" w14:textId="759F470D" w:rsidR="00C92EB7" w:rsidRPr="006B5A1B" w:rsidRDefault="00C92EB7" w:rsidP="00DB2754">
      <w:pPr>
        <w:pStyle w:val="NormalWeb"/>
        <w:spacing w:before="0" w:beforeAutospacing="0" w:after="150" w:afterAutospacing="0" w:line="360" w:lineRule="auto"/>
        <w:ind w:firstLine="720"/>
        <w:textAlignment w:val="baseline"/>
        <w:rPr>
          <w:rFonts w:asciiTheme="majorHAnsi" w:hAnsiTheme="majorHAnsi" w:cstheme="majorHAnsi"/>
        </w:rPr>
      </w:pPr>
      <w:r w:rsidRPr="006B5A1B">
        <w:rPr>
          <w:rFonts w:asciiTheme="majorHAnsi" w:hAnsiTheme="majorHAnsi" w:cstheme="majorHAnsi"/>
        </w:rPr>
        <w:t>In defining risk factors leading to homelessness, a clear distinction of what a risk factor is and is not, must be defined.  Recall, The McKinney-Vento Homeless Assistance Act</w:t>
      </w:r>
      <w:r w:rsidR="006B6263">
        <w:rPr>
          <w:rFonts w:asciiTheme="majorHAnsi" w:hAnsiTheme="majorHAnsi" w:cstheme="majorHAnsi"/>
        </w:rPr>
        <w:t xml:space="preserve"> </w:t>
      </w:r>
      <w:r w:rsidRPr="006B5A1B">
        <w:rPr>
          <w:rFonts w:asciiTheme="majorHAnsi" w:hAnsiTheme="majorHAnsi" w:cstheme="majorHAnsi"/>
        </w:rPr>
        <w:t>defines homelessness as, “persons as those lacking a fixed, regular, and adequate nighttime residence or having a nighttime residence that is a publicly or privately operated shelter, a public or private place that provides temporary residence for those intended to be institutionalized, or a public or private place not designed for use as a regular sleeping accommodation for human beings.”</w:t>
      </w:r>
      <w:r w:rsidR="00387D48">
        <w:rPr>
          <w:rFonts w:asciiTheme="majorHAnsi" w:hAnsiTheme="majorHAnsi" w:cstheme="majorHAnsi"/>
          <w:vertAlign w:val="superscript"/>
        </w:rPr>
        <w:t>6</w:t>
      </w:r>
      <w:r w:rsidRPr="006B5A1B">
        <w:rPr>
          <w:rFonts w:asciiTheme="majorHAnsi" w:hAnsiTheme="majorHAnsi" w:cstheme="majorHAnsi"/>
        </w:rPr>
        <w:t xml:space="preserve">  Therefore, we can </w:t>
      </w:r>
      <w:r w:rsidR="006B6263">
        <w:rPr>
          <w:rFonts w:asciiTheme="majorHAnsi" w:hAnsiTheme="majorHAnsi" w:cstheme="majorHAnsi"/>
        </w:rPr>
        <w:t>reason</w:t>
      </w:r>
      <w:r w:rsidRPr="006B5A1B">
        <w:rPr>
          <w:rFonts w:asciiTheme="majorHAnsi" w:hAnsiTheme="majorHAnsi" w:cstheme="majorHAnsi"/>
        </w:rPr>
        <w:t xml:space="preserve"> that risk factors would consist of any condition that directly impacts one’s ability to secure a fixed regular nighttime residence.  The final 3 definitions that will need to be identified will be </w:t>
      </w:r>
      <w:r w:rsidR="006B6263">
        <w:rPr>
          <w:rFonts w:asciiTheme="majorHAnsi" w:hAnsiTheme="majorHAnsi" w:cstheme="majorHAnsi"/>
        </w:rPr>
        <w:t xml:space="preserve">outcomes, </w:t>
      </w:r>
      <w:r w:rsidRPr="006B5A1B">
        <w:rPr>
          <w:rFonts w:asciiTheme="majorHAnsi" w:hAnsiTheme="majorHAnsi" w:cstheme="majorHAnsi"/>
        </w:rPr>
        <w:t xml:space="preserve">interventions, and </w:t>
      </w:r>
      <w:r>
        <w:rPr>
          <w:rFonts w:asciiTheme="majorHAnsi" w:hAnsiTheme="majorHAnsi" w:cstheme="majorHAnsi"/>
        </w:rPr>
        <w:t xml:space="preserve">government </w:t>
      </w:r>
      <w:r w:rsidRPr="006B5A1B">
        <w:rPr>
          <w:rFonts w:asciiTheme="majorHAnsi" w:hAnsiTheme="majorHAnsi" w:cstheme="majorHAnsi"/>
        </w:rPr>
        <w:t>policies</w:t>
      </w:r>
      <w:r>
        <w:rPr>
          <w:rFonts w:asciiTheme="majorHAnsi" w:hAnsiTheme="majorHAnsi" w:cstheme="majorHAnsi"/>
        </w:rPr>
        <w:t xml:space="preserve"> and programs</w:t>
      </w:r>
      <w:r w:rsidRPr="006B5A1B">
        <w:rPr>
          <w:rFonts w:asciiTheme="majorHAnsi" w:hAnsiTheme="majorHAnsi" w:cstheme="majorHAnsi"/>
        </w:rPr>
        <w:t xml:space="preserve">.  </w:t>
      </w:r>
    </w:p>
    <w:p w14:paraId="6218545B" w14:textId="102417DD" w:rsidR="00C92EB7" w:rsidRPr="006B5A1B" w:rsidRDefault="006B6263" w:rsidP="00DB2754">
      <w:pPr>
        <w:pStyle w:val="NormalWeb"/>
        <w:spacing w:before="0" w:beforeAutospacing="0" w:after="150" w:afterAutospacing="0" w:line="360" w:lineRule="auto"/>
        <w:ind w:firstLine="720"/>
        <w:textAlignment w:val="baseline"/>
        <w:rPr>
          <w:rFonts w:asciiTheme="majorHAnsi" w:hAnsiTheme="majorHAnsi" w:cstheme="majorHAnsi"/>
        </w:rPr>
      </w:pPr>
      <w:r w:rsidRPr="006B5A1B">
        <w:rPr>
          <w:rFonts w:asciiTheme="majorHAnsi" w:hAnsiTheme="majorHAnsi" w:cstheme="majorHAnsi"/>
        </w:rPr>
        <w:t xml:space="preserve">Outcomes </w:t>
      </w:r>
      <w:r>
        <w:rPr>
          <w:rFonts w:asciiTheme="majorHAnsi" w:hAnsiTheme="majorHAnsi" w:cstheme="majorHAnsi"/>
        </w:rPr>
        <w:t xml:space="preserve">of youth homelessness </w:t>
      </w:r>
      <w:r w:rsidRPr="006B5A1B">
        <w:rPr>
          <w:rFonts w:asciiTheme="majorHAnsi" w:hAnsiTheme="majorHAnsi" w:cstheme="majorHAnsi"/>
        </w:rPr>
        <w:t xml:space="preserve">will include </w:t>
      </w:r>
      <w:r>
        <w:rPr>
          <w:rFonts w:asciiTheme="majorHAnsi" w:hAnsiTheme="majorHAnsi" w:cstheme="majorHAnsi"/>
        </w:rPr>
        <w:t>effects that are a clear result of youth homelessness</w:t>
      </w:r>
      <w:r w:rsidRPr="006B5A1B">
        <w:rPr>
          <w:rFonts w:asciiTheme="majorHAnsi" w:hAnsiTheme="majorHAnsi" w:cstheme="majorHAnsi"/>
        </w:rPr>
        <w:t xml:space="preserve">.  </w:t>
      </w:r>
      <w:r>
        <w:rPr>
          <w:rFonts w:asciiTheme="majorHAnsi" w:hAnsiTheme="majorHAnsi" w:cstheme="majorHAnsi"/>
        </w:rPr>
        <w:t>I</w:t>
      </w:r>
      <w:r w:rsidR="00C92EB7" w:rsidRPr="006B5A1B">
        <w:rPr>
          <w:rFonts w:asciiTheme="majorHAnsi" w:hAnsiTheme="majorHAnsi" w:cstheme="majorHAnsi"/>
        </w:rPr>
        <w:t>ntervention</w:t>
      </w:r>
      <w:r>
        <w:rPr>
          <w:rFonts w:asciiTheme="majorHAnsi" w:hAnsiTheme="majorHAnsi" w:cstheme="majorHAnsi"/>
        </w:rPr>
        <w:t>s</w:t>
      </w:r>
      <w:r w:rsidR="00C92EB7" w:rsidRPr="006B5A1B">
        <w:rPr>
          <w:rFonts w:asciiTheme="majorHAnsi" w:hAnsiTheme="majorHAnsi" w:cstheme="majorHAnsi"/>
        </w:rPr>
        <w:t xml:space="preserve"> will consist of any activity that aims to reduce the impact of a risk factor of homelessness, an outcome of homelessness, or the physical state of being housed.   Finally, </w:t>
      </w:r>
      <w:r w:rsidR="00C92EB7">
        <w:rPr>
          <w:rFonts w:asciiTheme="majorHAnsi" w:hAnsiTheme="majorHAnsi" w:cstheme="majorHAnsi"/>
        </w:rPr>
        <w:t xml:space="preserve">governmental policies/programs </w:t>
      </w:r>
      <w:r w:rsidR="00C92EB7" w:rsidRPr="006B5A1B">
        <w:rPr>
          <w:rFonts w:asciiTheme="majorHAnsi" w:hAnsiTheme="majorHAnsi" w:cstheme="majorHAnsi"/>
        </w:rPr>
        <w:t xml:space="preserve">will refer to </w:t>
      </w:r>
      <w:r w:rsidR="00C92EB7">
        <w:rPr>
          <w:rFonts w:asciiTheme="majorHAnsi" w:hAnsiTheme="majorHAnsi" w:cstheme="majorHAnsi"/>
        </w:rPr>
        <w:t xml:space="preserve">legislatively created policies and programs that aim to </w:t>
      </w:r>
      <w:r w:rsidR="00C92EB7" w:rsidRPr="006B5A1B">
        <w:rPr>
          <w:rFonts w:asciiTheme="majorHAnsi" w:hAnsiTheme="majorHAnsi" w:cstheme="majorHAnsi"/>
        </w:rPr>
        <w:t xml:space="preserve">help reduce </w:t>
      </w:r>
      <w:r w:rsidR="00C92EB7">
        <w:rPr>
          <w:rFonts w:asciiTheme="majorHAnsi" w:hAnsiTheme="majorHAnsi" w:cstheme="majorHAnsi"/>
        </w:rPr>
        <w:t xml:space="preserve">the prevalence of youth </w:t>
      </w:r>
      <w:r w:rsidR="00C92EB7" w:rsidRPr="006B5A1B">
        <w:rPr>
          <w:rFonts w:asciiTheme="majorHAnsi" w:hAnsiTheme="majorHAnsi" w:cstheme="majorHAnsi"/>
        </w:rPr>
        <w:t xml:space="preserve">homelessness or </w:t>
      </w:r>
      <w:r w:rsidR="00C92EB7">
        <w:rPr>
          <w:rFonts w:asciiTheme="majorHAnsi" w:hAnsiTheme="majorHAnsi" w:cstheme="majorHAnsi"/>
        </w:rPr>
        <w:t>mitigate its effects</w:t>
      </w:r>
      <w:r>
        <w:rPr>
          <w:rFonts w:asciiTheme="majorHAnsi" w:hAnsiTheme="majorHAnsi" w:cstheme="majorHAnsi"/>
        </w:rPr>
        <w:t xml:space="preserve">.  </w:t>
      </w:r>
      <w:r w:rsidR="00C92EB7" w:rsidRPr="006B5A1B">
        <w:rPr>
          <w:rFonts w:asciiTheme="majorHAnsi" w:hAnsiTheme="majorHAnsi" w:cstheme="majorHAnsi"/>
        </w:rPr>
        <w:t xml:space="preserve">Once these definitions are established, a clear plan must be created to </w:t>
      </w:r>
      <w:r>
        <w:rPr>
          <w:rFonts w:asciiTheme="majorHAnsi" w:hAnsiTheme="majorHAnsi" w:cstheme="majorHAnsi"/>
        </w:rPr>
        <w:t xml:space="preserve">guide </w:t>
      </w:r>
      <w:proofErr w:type="gramStart"/>
      <w:r>
        <w:rPr>
          <w:rFonts w:asciiTheme="majorHAnsi" w:hAnsiTheme="majorHAnsi" w:cstheme="majorHAnsi"/>
        </w:rPr>
        <w:t>the research</w:t>
      </w:r>
      <w:proofErr w:type="gramEnd"/>
      <w:r>
        <w:rPr>
          <w:rFonts w:asciiTheme="majorHAnsi" w:hAnsiTheme="majorHAnsi" w:cstheme="majorHAnsi"/>
        </w:rPr>
        <w:t xml:space="preserve"> efforts</w:t>
      </w:r>
      <w:r w:rsidR="00C92EB7" w:rsidRPr="006B5A1B">
        <w:rPr>
          <w:rFonts w:asciiTheme="majorHAnsi" w:hAnsiTheme="majorHAnsi" w:cstheme="majorHAnsi"/>
        </w:rPr>
        <w:t>.</w:t>
      </w:r>
    </w:p>
    <w:p w14:paraId="5A691188" w14:textId="61930218" w:rsidR="00C92EB7" w:rsidRPr="006B5A1B" w:rsidRDefault="00C92EB7" w:rsidP="00DB2754">
      <w:pPr>
        <w:pStyle w:val="NormalWeb"/>
        <w:spacing w:before="0" w:beforeAutospacing="0" w:after="150" w:afterAutospacing="0" w:line="360" w:lineRule="auto"/>
        <w:ind w:firstLine="720"/>
        <w:textAlignment w:val="baseline"/>
        <w:rPr>
          <w:rFonts w:asciiTheme="majorHAnsi" w:hAnsiTheme="majorHAnsi" w:cstheme="majorHAnsi"/>
        </w:rPr>
      </w:pPr>
      <w:r>
        <w:rPr>
          <w:rFonts w:asciiTheme="majorHAnsi" w:hAnsiTheme="majorHAnsi" w:cstheme="majorHAnsi"/>
        </w:rPr>
        <w:lastRenderedPageBreak/>
        <w:t xml:space="preserve">A mixed methods approach </w:t>
      </w:r>
      <w:r w:rsidR="006B6263">
        <w:rPr>
          <w:rFonts w:asciiTheme="majorHAnsi" w:hAnsiTheme="majorHAnsi" w:cstheme="majorHAnsi"/>
        </w:rPr>
        <w:t xml:space="preserve">consisting of a </w:t>
      </w:r>
      <w:r>
        <w:rPr>
          <w:rFonts w:asciiTheme="majorHAnsi" w:hAnsiTheme="majorHAnsi" w:cstheme="majorHAnsi"/>
        </w:rPr>
        <w:t>literature review</w:t>
      </w:r>
      <w:r w:rsidR="009C42BA">
        <w:rPr>
          <w:rFonts w:asciiTheme="majorHAnsi" w:hAnsiTheme="majorHAnsi" w:cstheme="majorHAnsi"/>
        </w:rPr>
        <w:t xml:space="preserve">, </w:t>
      </w:r>
      <w:r>
        <w:rPr>
          <w:rFonts w:asciiTheme="majorHAnsi" w:hAnsiTheme="majorHAnsi" w:cstheme="majorHAnsi"/>
        </w:rPr>
        <w:t>content analysis</w:t>
      </w:r>
      <w:r w:rsidR="009C42BA">
        <w:rPr>
          <w:rFonts w:asciiTheme="majorHAnsi" w:hAnsiTheme="majorHAnsi" w:cstheme="majorHAnsi"/>
        </w:rPr>
        <w:t>, and interview</w:t>
      </w:r>
      <w:r w:rsidR="006B6263">
        <w:rPr>
          <w:rFonts w:asciiTheme="majorHAnsi" w:hAnsiTheme="majorHAnsi" w:cstheme="majorHAnsi"/>
        </w:rPr>
        <w:t>(s), will be taken in this research project</w:t>
      </w:r>
      <w:r>
        <w:rPr>
          <w:rFonts w:asciiTheme="majorHAnsi" w:hAnsiTheme="majorHAnsi" w:cstheme="majorHAnsi"/>
        </w:rPr>
        <w:t xml:space="preserve">.  </w:t>
      </w:r>
      <w:r w:rsidRPr="006B5A1B">
        <w:rPr>
          <w:rFonts w:asciiTheme="majorHAnsi" w:hAnsiTheme="majorHAnsi" w:cstheme="majorHAnsi"/>
        </w:rPr>
        <w:t xml:space="preserve">Literature review was selected as </w:t>
      </w:r>
      <w:r w:rsidR="006B6263">
        <w:rPr>
          <w:rFonts w:asciiTheme="majorHAnsi" w:hAnsiTheme="majorHAnsi" w:cstheme="majorHAnsi"/>
        </w:rPr>
        <w:t xml:space="preserve">one of the methodologies for </w:t>
      </w:r>
      <w:r w:rsidRPr="006B5A1B">
        <w:rPr>
          <w:rFonts w:asciiTheme="majorHAnsi" w:hAnsiTheme="majorHAnsi" w:cstheme="majorHAnsi"/>
        </w:rPr>
        <w:t>this research project as it offer</w:t>
      </w:r>
      <w:r w:rsidR="006B6263">
        <w:rPr>
          <w:rFonts w:asciiTheme="majorHAnsi" w:hAnsiTheme="majorHAnsi" w:cstheme="majorHAnsi"/>
        </w:rPr>
        <w:t>s</w:t>
      </w:r>
      <w:r w:rsidRPr="006B5A1B">
        <w:rPr>
          <w:rFonts w:asciiTheme="majorHAnsi" w:hAnsiTheme="majorHAnsi" w:cstheme="majorHAnsi"/>
        </w:rPr>
        <w:t xml:space="preserve"> numerous advantages in providing the necessary means to collect, analyze, and compare information on the following topics, </w:t>
      </w:r>
      <w:r>
        <w:rPr>
          <w:rFonts w:asciiTheme="majorHAnsi" w:hAnsiTheme="majorHAnsi" w:cstheme="majorHAnsi"/>
        </w:rPr>
        <w:t xml:space="preserve">risk factors, outcomes, and interventions </w:t>
      </w:r>
      <w:r w:rsidRPr="006B5A1B">
        <w:rPr>
          <w:rFonts w:asciiTheme="majorHAnsi" w:hAnsiTheme="majorHAnsi" w:cstheme="majorHAnsi"/>
        </w:rPr>
        <w:t xml:space="preserve">impacting </w:t>
      </w:r>
      <w:r>
        <w:rPr>
          <w:rFonts w:asciiTheme="majorHAnsi" w:hAnsiTheme="majorHAnsi" w:cstheme="majorHAnsi"/>
        </w:rPr>
        <w:t>YEH</w:t>
      </w:r>
      <w:r w:rsidRPr="006B5A1B">
        <w:rPr>
          <w:rFonts w:asciiTheme="majorHAnsi" w:hAnsiTheme="majorHAnsi" w:cstheme="majorHAnsi"/>
        </w:rPr>
        <w:t xml:space="preserve">.  </w:t>
      </w:r>
      <w:r>
        <w:rPr>
          <w:rFonts w:asciiTheme="majorHAnsi" w:hAnsiTheme="majorHAnsi" w:cstheme="majorHAnsi"/>
        </w:rPr>
        <w:t xml:space="preserve">A content analysis will be used of a government publication, to acquire up to date primary information on government programs and policies aimed at YEH.  </w:t>
      </w:r>
      <w:r w:rsidR="006B6263">
        <w:rPr>
          <w:rFonts w:asciiTheme="majorHAnsi" w:hAnsiTheme="majorHAnsi" w:cstheme="majorHAnsi"/>
        </w:rPr>
        <w:t xml:space="preserve">Finally, interviewing will be used to provide primary data on YEH.  </w:t>
      </w:r>
      <w:r>
        <w:rPr>
          <w:rFonts w:asciiTheme="majorHAnsi" w:hAnsiTheme="majorHAnsi" w:cstheme="majorHAnsi"/>
        </w:rPr>
        <w:t xml:space="preserve">In utilizing a </w:t>
      </w:r>
      <w:r w:rsidRPr="006B5A1B">
        <w:rPr>
          <w:rFonts w:asciiTheme="majorHAnsi" w:hAnsiTheme="majorHAnsi" w:cstheme="majorHAnsi"/>
        </w:rPr>
        <w:t>literature</w:t>
      </w:r>
      <w:r>
        <w:rPr>
          <w:rFonts w:asciiTheme="majorHAnsi" w:hAnsiTheme="majorHAnsi" w:cstheme="majorHAnsi"/>
        </w:rPr>
        <w:t xml:space="preserve"> review</w:t>
      </w:r>
      <w:r w:rsidRPr="006B5A1B">
        <w:rPr>
          <w:rFonts w:asciiTheme="majorHAnsi" w:hAnsiTheme="majorHAnsi" w:cstheme="majorHAnsi"/>
        </w:rPr>
        <w:t xml:space="preserve">, the first consideration was </w:t>
      </w:r>
      <w:r>
        <w:rPr>
          <w:rFonts w:asciiTheme="majorHAnsi" w:hAnsiTheme="majorHAnsi" w:cstheme="majorHAnsi"/>
        </w:rPr>
        <w:t>whether to utilize a</w:t>
      </w:r>
      <w:r w:rsidRPr="006B5A1B">
        <w:rPr>
          <w:rFonts w:asciiTheme="majorHAnsi" w:hAnsiTheme="majorHAnsi" w:cstheme="majorHAnsi"/>
        </w:rPr>
        <w:t xml:space="preserve"> systematic </w:t>
      </w:r>
      <w:r>
        <w:rPr>
          <w:rFonts w:asciiTheme="majorHAnsi" w:hAnsiTheme="majorHAnsi" w:cstheme="majorHAnsi"/>
        </w:rPr>
        <w:t>or</w:t>
      </w:r>
      <w:r w:rsidRPr="006B5A1B">
        <w:rPr>
          <w:rFonts w:asciiTheme="majorHAnsi" w:hAnsiTheme="majorHAnsi" w:cstheme="majorHAnsi"/>
        </w:rPr>
        <w:t xml:space="preserve"> non-systematic review</w:t>
      </w:r>
      <w:r>
        <w:rPr>
          <w:rFonts w:asciiTheme="majorHAnsi" w:hAnsiTheme="majorHAnsi" w:cstheme="majorHAnsi"/>
        </w:rPr>
        <w:t xml:space="preserve"> design</w:t>
      </w:r>
      <w:r w:rsidRPr="006B5A1B">
        <w:rPr>
          <w:rFonts w:asciiTheme="majorHAnsi" w:hAnsiTheme="majorHAnsi" w:cstheme="majorHAnsi"/>
        </w:rPr>
        <w:t>.</w:t>
      </w:r>
    </w:p>
    <w:p w14:paraId="0BD26C85" w14:textId="49B54853" w:rsidR="00C92EB7" w:rsidRPr="006B5A1B" w:rsidRDefault="00C92EB7" w:rsidP="00DB2754">
      <w:pPr>
        <w:shd w:val="clear" w:color="auto" w:fill="FFFFFF"/>
        <w:spacing w:after="120" w:line="360" w:lineRule="auto"/>
        <w:ind w:firstLine="720"/>
        <w:rPr>
          <w:rFonts w:asciiTheme="majorHAnsi" w:hAnsiTheme="majorHAnsi" w:cstheme="majorHAnsi"/>
        </w:rPr>
      </w:pPr>
      <w:r w:rsidRPr="006B5A1B">
        <w:rPr>
          <w:rFonts w:asciiTheme="majorHAnsi" w:hAnsiTheme="majorHAnsi" w:cstheme="majorHAnsi"/>
        </w:rPr>
        <w:t xml:space="preserve">Literature review formats consist of systematic and non-systematic structures.  Systematic review structures provide a rigid framework that </w:t>
      </w:r>
      <w:proofErr w:type="gramStart"/>
      <w:r w:rsidRPr="006B5A1B">
        <w:rPr>
          <w:rFonts w:asciiTheme="majorHAnsi" w:hAnsiTheme="majorHAnsi" w:cstheme="majorHAnsi"/>
        </w:rPr>
        <w:t>allows for</w:t>
      </w:r>
      <w:proofErr w:type="gramEnd"/>
      <w:r w:rsidRPr="006B5A1B">
        <w:rPr>
          <w:rFonts w:asciiTheme="majorHAnsi" w:hAnsiTheme="majorHAnsi" w:cstheme="majorHAnsi"/>
        </w:rPr>
        <w:t xml:space="preserve"> transparency, reduced bias, and reliability.</w:t>
      </w:r>
      <w:proofErr w:type="gramStart"/>
      <w:r w:rsidR="00387D48">
        <w:rPr>
          <w:rFonts w:asciiTheme="majorHAnsi" w:hAnsiTheme="majorHAnsi" w:cstheme="majorHAnsi"/>
          <w:vertAlign w:val="superscript"/>
        </w:rPr>
        <w:t>9</w:t>
      </w:r>
      <w:r w:rsidRPr="006B5A1B">
        <w:rPr>
          <w:rFonts w:asciiTheme="majorHAnsi" w:hAnsiTheme="majorHAnsi" w:cstheme="majorHAnsi"/>
        </w:rPr>
        <w:t xml:space="preserve">  The</w:t>
      </w:r>
      <w:proofErr w:type="gramEnd"/>
      <w:r w:rsidRPr="006B5A1B">
        <w:rPr>
          <w:rFonts w:asciiTheme="majorHAnsi" w:hAnsiTheme="majorHAnsi" w:cstheme="majorHAnsi"/>
        </w:rPr>
        <w:t xml:space="preserve"> Centers for Disease control and Prevention (CDC)</w:t>
      </w:r>
      <w:r w:rsidR="00387D48">
        <w:rPr>
          <w:rFonts w:asciiTheme="majorHAnsi" w:hAnsiTheme="majorHAnsi" w:cstheme="majorHAnsi"/>
          <w:vertAlign w:val="superscript"/>
        </w:rPr>
        <w:t>9</w:t>
      </w:r>
      <w:r w:rsidRPr="006B5A1B">
        <w:rPr>
          <w:rFonts w:asciiTheme="majorHAnsi" w:hAnsiTheme="majorHAnsi" w:cstheme="majorHAnsi"/>
        </w:rPr>
        <w:t xml:space="preserve"> and National Institutes of Health (NIH)</w:t>
      </w:r>
      <w:r>
        <w:rPr>
          <w:rFonts w:asciiTheme="majorHAnsi" w:hAnsiTheme="majorHAnsi" w:cstheme="majorHAnsi"/>
          <w:vertAlign w:val="superscript"/>
        </w:rPr>
        <w:t>1</w:t>
      </w:r>
      <w:r w:rsidR="00387D48">
        <w:rPr>
          <w:rFonts w:asciiTheme="majorHAnsi" w:hAnsiTheme="majorHAnsi" w:cstheme="majorHAnsi"/>
          <w:vertAlign w:val="superscript"/>
        </w:rPr>
        <w:t>0</w:t>
      </w:r>
      <w:r w:rsidRPr="006B5A1B">
        <w:rPr>
          <w:rFonts w:asciiTheme="majorHAnsi" w:hAnsiTheme="majorHAnsi" w:cstheme="majorHAnsi"/>
        </w:rPr>
        <w:t xml:space="preserve"> agree that a systematic review sets the standard for academic purposes.  However, achieving this standard </w:t>
      </w:r>
      <w:r>
        <w:rPr>
          <w:rFonts w:asciiTheme="majorHAnsi" w:hAnsiTheme="majorHAnsi" w:cstheme="majorHAnsi"/>
        </w:rPr>
        <w:t xml:space="preserve">requires a significant </w:t>
      </w:r>
      <w:proofErr w:type="gramStart"/>
      <w:r>
        <w:rPr>
          <w:rFonts w:asciiTheme="majorHAnsi" w:hAnsiTheme="majorHAnsi" w:cstheme="majorHAnsi"/>
        </w:rPr>
        <w:t>amount</w:t>
      </w:r>
      <w:proofErr w:type="gramEnd"/>
      <w:r>
        <w:rPr>
          <w:rFonts w:asciiTheme="majorHAnsi" w:hAnsiTheme="majorHAnsi" w:cstheme="majorHAnsi"/>
        </w:rPr>
        <w:t xml:space="preserve"> of </w:t>
      </w:r>
      <w:r w:rsidRPr="006B5A1B">
        <w:rPr>
          <w:rFonts w:asciiTheme="majorHAnsi" w:hAnsiTheme="majorHAnsi" w:cstheme="majorHAnsi"/>
        </w:rPr>
        <w:t>resources and time.  The CDC</w:t>
      </w:r>
      <w:r>
        <w:rPr>
          <w:rFonts w:asciiTheme="majorHAnsi" w:hAnsiTheme="majorHAnsi" w:cstheme="majorHAnsi"/>
          <w:vertAlign w:val="superscript"/>
        </w:rPr>
        <w:t>13</w:t>
      </w:r>
      <w:r w:rsidRPr="006B5A1B">
        <w:rPr>
          <w:rFonts w:asciiTheme="majorHAnsi" w:hAnsiTheme="majorHAnsi" w:cstheme="majorHAnsi"/>
        </w:rPr>
        <w:t xml:space="preserve"> guidelines for a systematic review require, at minimum, a content expert, 2 reviewers, a tie breaker, a statistician, and a librarian trained in systematic reviews.  The CDC reports that a systematic review requires no less than 18 months, with the fastest type of systematic review, a rapid review, requiring 1 to 9 months.  Unlike the systematic review, the non-systematic does not offer the repeatability, of a systematic review.</w:t>
      </w:r>
      <w:proofErr w:type="gramStart"/>
      <w:r>
        <w:rPr>
          <w:rFonts w:asciiTheme="majorHAnsi" w:hAnsiTheme="majorHAnsi" w:cstheme="majorHAnsi"/>
          <w:vertAlign w:val="superscript"/>
        </w:rPr>
        <w:t>1</w:t>
      </w:r>
      <w:r w:rsidR="00387D48">
        <w:rPr>
          <w:rFonts w:asciiTheme="majorHAnsi" w:hAnsiTheme="majorHAnsi" w:cstheme="majorHAnsi"/>
          <w:vertAlign w:val="superscript"/>
        </w:rPr>
        <w:t>1</w:t>
      </w:r>
      <w:r w:rsidRPr="006B5A1B">
        <w:rPr>
          <w:rFonts w:asciiTheme="majorHAnsi" w:hAnsiTheme="majorHAnsi" w:cstheme="majorHAnsi"/>
        </w:rPr>
        <w:t xml:space="preserve">  However</w:t>
      </w:r>
      <w:proofErr w:type="gramEnd"/>
      <w:r w:rsidRPr="006B5A1B">
        <w:rPr>
          <w:rFonts w:asciiTheme="majorHAnsi" w:hAnsiTheme="majorHAnsi" w:cstheme="majorHAnsi"/>
        </w:rPr>
        <w:t>, the non-systematic review has its own positives.</w:t>
      </w:r>
    </w:p>
    <w:p w14:paraId="2299E330" w14:textId="51CF995B" w:rsidR="00C92EB7" w:rsidRPr="006B5A1B" w:rsidRDefault="00C92EB7" w:rsidP="00DB2754">
      <w:pPr>
        <w:shd w:val="clear" w:color="auto" w:fill="FFFFFF"/>
        <w:spacing w:after="120" w:line="360" w:lineRule="auto"/>
        <w:ind w:firstLine="720"/>
        <w:rPr>
          <w:rFonts w:asciiTheme="majorHAnsi" w:hAnsiTheme="majorHAnsi" w:cstheme="majorHAnsi"/>
        </w:rPr>
      </w:pPr>
      <w:r w:rsidRPr="006B5A1B">
        <w:rPr>
          <w:rFonts w:asciiTheme="majorHAnsi" w:hAnsiTheme="majorHAnsi" w:cstheme="majorHAnsi"/>
        </w:rPr>
        <w:t>The non-system</w:t>
      </w:r>
      <w:r>
        <w:rPr>
          <w:rFonts w:asciiTheme="majorHAnsi" w:hAnsiTheme="majorHAnsi" w:cstheme="majorHAnsi"/>
        </w:rPr>
        <w:t>at</w:t>
      </w:r>
      <w:r w:rsidRPr="006B5A1B">
        <w:rPr>
          <w:rFonts w:asciiTheme="majorHAnsi" w:hAnsiTheme="majorHAnsi" w:cstheme="majorHAnsi"/>
        </w:rPr>
        <w:t>ic review provides fair less resources and time, with research finding that non</w:t>
      </w:r>
      <w:r>
        <w:rPr>
          <w:rFonts w:asciiTheme="majorHAnsi" w:hAnsiTheme="majorHAnsi" w:cstheme="majorHAnsi"/>
        </w:rPr>
        <w:t>-</w:t>
      </w:r>
      <w:r w:rsidRPr="006B5A1B">
        <w:rPr>
          <w:rFonts w:asciiTheme="majorHAnsi" w:hAnsiTheme="majorHAnsi" w:cstheme="majorHAnsi"/>
        </w:rPr>
        <w:t xml:space="preserve">systematic reviews generally </w:t>
      </w:r>
      <w:proofErr w:type="gramStart"/>
      <w:r w:rsidRPr="006B5A1B">
        <w:rPr>
          <w:rFonts w:asciiTheme="majorHAnsi" w:hAnsiTheme="majorHAnsi" w:cstheme="majorHAnsi"/>
        </w:rPr>
        <w:t>delivering</w:t>
      </w:r>
      <w:proofErr w:type="gramEnd"/>
      <w:r w:rsidRPr="006B5A1B">
        <w:rPr>
          <w:rFonts w:asciiTheme="majorHAnsi" w:hAnsiTheme="majorHAnsi" w:cstheme="majorHAnsi"/>
        </w:rPr>
        <w:t xml:space="preserve"> reliable and accurate information.</w:t>
      </w:r>
      <w:proofErr w:type="gramStart"/>
      <w:r>
        <w:rPr>
          <w:rFonts w:asciiTheme="majorHAnsi" w:hAnsiTheme="majorHAnsi" w:cstheme="majorHAnsi"/>
          <w:vertAlign w:val="superscript"/>
        </w:rPr>
        <w:t>1</w:t>
      </w:r>
      <w:r w:rsidR="00387D48">
        <w:rPr>
          <w:rFonts w:asciiTheme="majorHAnsi" w:hAnsiTheme="majorHAnsi" w:cstheme="majorHAnsi"/>
          <w:vertAlign w:val="superscript"/>
        </w:rPr>
        <w:t>1</w:t>
      </w:r>
      <w:r w:rsidRPr="006B5A1B">
        <w:rPr>
          <w:rFonts w:asciiTheme="majorHAnsi" w:hAnsiTheme="majorHAnsi" w:cstheme="majorHAnsi"/>
        </w:rPr>
        <w:t xml:space="preserve">  Non</w:t>
      </w:r>
      <w:proofErr w:type="gramEnd"/>
      <w:r>
        <w:rPr>
          <w:rFonts w:asciiTheme="majorHAnsi" w:hAnsiTheme="majorHAnsi" w:cstheme="majorHAnsi"/>
        </w:rPr>
        <w:t>-</w:t>
      </w:r>
      <w:r w:rsidRPr="006B5A1B">
        <w:rPr>
          <w:rFonts w:asciiTheme="majorHAnsi" w:hAnsiTheme="majorHAnsi" w:cstheme="majorHAnsi"/>
        </w:rPr>
        <w:t>system</w:t>
      </w:r>
      <w:r>
        <w:rPr>
          <w:rFonts w:asciiTheme="majorHAnsi" w:hAnsiTheme="majorHAnsi" w:cstheme="majorHAnsi"/>
        </w:rPr>
        <w:t>at</w:t>
      </w:r>
      <w:r w:rsidRPr="006B5A1B">
        <w:rPr>
          <w:rFonts w:asciiTheme="majorHAnsi" w:hAnsiTheme="majorHAnsi" w:cstheme="majorHAnsi"/>
        </w:rPr>
        <w:t>ic reviews do not follow any rigid requirements, and are advantageous in addressing board question or gathering the latest information.  In fact, the non</w:t>
      </w:r>
      <w:r>
        <w:rPr>
          <w:rFonts w:asciiTheme="majorHAnsi" w:hAnsiTheme="majorHAnsi" w:cstheme="majorHAnsi"/>
        </w:rPr>
        <w:t>-</w:t>
      </w:r>
      <w:r w:rsidRPr="006B5A1B">
        <w:rPr>
          <w:rFonts w:asciiTheme="majorHAnsi" w:hAnsiTheme="majorHAnsi" w:cstheme="majorHAnsi"/>
        </w:rPr>
        <w:t>system</w:t>
      </w:r>
      <w:r>
        <w:rPr>
          <w:rFonts w:asciiTheme="majorHAnsi" w:hAnsiTheme="majorHAnsi" w:cstheme="majorHAnsi"/>
        </w:rPr>
        <w:t>at</w:t>
      </w:r>
      <w:r w:rsidRPr="006B5A1B">
        <w:rPr>
          <w:rFonts w:asciiTheme="majorHAnsi" w:hAnsiTheme="majorHAnsi" w:cstheme="majorHAnsi"/>
        </w:rPr>
        <w:t>ic review is highly used in establishing clinical guidelines within health organizations for these advantages</w:t>
      </w:r>
      <w:r>
        <w:rPr>
          <w:rFonts w:asciiTheme="majorHAnsi" w:hAnsiTheme="majorHAnsi" w:cstheme="majorHAnsi"/>
        </w:rPr>
        <w:t>.</w:t>
      </w:r>
      <w:proofErr w:type="gramStart"/>
      <w:r w:rsidRPr="006B5A1B">
        <w:rPr>
          <w:rFonts w:asciiTheme="majorHAnsi" w:hAnsiTheme="majorHAnsi" w:cstheme="majorHAnsi"/>
          <w:vertAlign w:val="superscript"/>
        </w:rPr>
        <w:t>1</w:t>
      </w:r>
      <w:r w:rsidR="00387D48">
        <w:rPr>
          <w:rFonts w:asciiTheme="majorHAnsi" w:hAnsiTheme="majorHAnsi" w:cstheme="majorHAnsi"/>
          <w:vertAlign w:val="superscript"/>
        </w:rPr>
        <w:t>2</w:t>
      </w:r>
      <w:r w:rsidRPr="006B5A1B">
        <w:rPr>
          <w:rFonts w:asciiTheme="majorHAnsi" w:hAnsiTheme="majorHAnsi" w:cstheme="majorHAnsi"/>
        </w:rPr>
        <w:t xml:space="preserve">  In</w:t>
      </w:r>
      <w:proofErr w:type="gramEnd"/>
      <w:r w:rsidRPr="006B5A1B">
        <w:rPr>
          <w:rFonts w:asciiTheme="majorHAnsi" w:hAnsiTheme="majorHAnsi" w:cstheme="majorHAnsi"/>
        </w:rPr>
        <w:t xml:space="preserve"> considering the disadvantages and advantages between the systematic and non</w:t>
      </w:r>
      <w:r>
        <w:rPr>
          <w:rFonts w:asciiTheme="majorHAnsi" w:hAnsiTheme="majorHAnsi" w:cstheme="majorHAnsi"/>
        </w:rPr>
        <w:t>-</w:t>
      </w:r>
      <w:r w:rsidRPr="006B5A1B">
        <w:rPr>
          <w:rFonts w:asciiTheme="majorHAnsi" w:hAnsiTheme="majorHAnsi" w:cstheme="majorHAnsi"/>
        </w:rPr>
        <w:t>systematic review, a systematic review was ultimately chosen.</w:t>
      </w:r>
    </w:p>
    <w:p w14:paraId="04AD7D1C" w14:textId="0F7F6A38" w:rsidR="00C92EB7" w:rsidRDefault="00C92EB7" w:rsidP="00DB2754">
      <w:pPr>
        <w:shd w:val="clear" w:color="auto" w:fill="FFFFFF"/>
        <w:spacing w:after="120" w:line="360" w:lineRule="auto"/>
        <w:ind w:firstLine="720"/>
        <w:rPr>
          <w:rFonts w:asciiTheme="majorHAnsi" w:hAnsiTheme="majorHAnsi" w:cstheme="majorHAnsi"/>
        </w:rPr>
      </w:pPr>
      <w:r w:rsidRPr="006B5A1B">
        <w:rPr>
          <w:rFonts w:asciiTheme="majorHAnsi" w:hAnsiTheme="majorHAnsi" w:cstheme="majorHAnsi"/>
        </w:rPr>
        <w:t>A systematic review, in the form of a rapid review, was ultimately chosen due to its increasing transparency, reduced bias, and reliability</w:t>
      </w:r>
      <w:r>
        <w:rPr>
          <w:rFonts w:asciiTheme="majorHAnsi" w:hAnsiTheme="majorHAnsi" w:cstheme="majorHAnsi"/>
        </w:rPr>
        <w:t>.</w:t>
      </w:r>
      <w:proofErr w:type="gramStart"/>
      <w:r w:rsidRPr="006B5A1B">
        <w:rPr>
          <w:rFonts w:asciiTheme="majorHAnsi" w:hAnsiTheme="majorHAnsi" w:cstheme="majorHAnsi"/>
          <w:vertAlign w:val="superscript"/>
        </w:rPr>
        <w:t>1</w:t>
      </w:r>
      <w:r w:rsidR="00387D48">
        <w:rPr>
          <w:rFonts w:asciiTheme="majorHAnsi" w:hAnsiTheme="majorHAnsi" w:cstheme="majorHAnsi"/>
          <w:vertAlign w:val="superscript"/>
        </w:rPr>
        <w:t>3</w:t>
      </w:r>
      <w:r w:rsidRPr="006B5A1B">
        <w:rPr>
          <w:rFonts w:asciiTheme="majorHAnsi" w:hAnsiTheme="majorHAnsi" w:cstheme="majorHAnsi"/>
        </w:rPr>
        <w:t xml:space="preserve">  These</w:t>
      </w:r>
      <w:proofErr w:type="gramEnd"/>
      <w:r w:rsidRPr="006B5A1B">
        <w:rPr>
          <w:rFonts w:asciiTheme="majorHAnsi" w:hAnsiTheme="majorHAnsi" w:cstheme="majorHAnsi"/>
        </w:rPr>
        <w:t xml:space="preserve"> features will aid in </w:t>
      </w:r>
      <w:r w:rsidR="006B6263">
        <w:rPr>
          <w:rFonts w:asciiTheme="majorHAnsi" w:hAnsiTheme="majorHAnsi" w:cstheme="majorHAnsi"/>
        </w:rPr>
        <w:t>providing valid and accurate findings.</w:t>
      </w:r>
      <w:r w:rsidRPr="006B5A1B">
        <w:rPr>
          <w:rFonts w:asciiTheme="majorHAnsi" w:hAnsiTheme="majorHAnsi" w:cstheme="majorHAnsi"/>
        </w:rPr>
        <w:t xml:space="preserve">  Utilizing a systematic review also provides </w:t>
      </w:r>
      <w:r w:rsidR="006B6263">
        <w:rPr>
          <w:rFonts w:asciiTheme="majorHAnsi" w:hAnsiTheme="majorHAnsi" w:cstheme="majorHAnsi"/>
        </w:rPr>
        <w:t>a</w:t>
      </w:r>
      <w:r w:rsidRPr="006B5A1B">
        <w:rPr>
          <w:rFonts w:asciiTheme="majorHAnsi" w:hAnsiTheme="majorHAnsi" w:cstheme="majorHAnsi"/>
        </w:rPr>
        <w:t xml:space="preserve"> framework to continue </w:t>
      </w:r>
      <w:r w:rsidRPr="006B5A1B">
        <w:rPr>
          <w:rFonts w:asciiTheme="majorHAnsi" w:hAnsiTheme="majorHAnsi" w:cstheme="majorHAnsi"/>
        </w:rPr>
        <w:lastRenderedPageBreak/>
        <w:t xml:space="preserve">ongoing research </w:t>
      </w:r>
      <w:r w:rsidR="006B6263">
        <w:rPr>
          <w:rFonts w:asciiTheme="majorHAnsi" w:hAnsiTheme="majorHAnsi" w:cstheme="majorHAnsi"/>
        </w:rPr>
        <w:t xml:space="preserve">after this </w:t>
      </w:r>
      <w:r w:rsidRPr="006B5A1B">
        <w:rPr>
          <w:rFonts w:asciiTheme="majorHAnsi" w:hAnsiTheme="majorHAnsi" w:cstheme="majorHAnsi"/>
        </w:rPr>
        <w:t>project ends.  In considering the setting of the literature review, electronic sources through one or more scholarly databases</w:t>
      </w:r>
      <w:r>
        <w:rPr>
          <w:rFonts w:asciiTheme="majorHAnsi" w:hAnsiTheme="majorHAnsi" w:cstheme="majorHAnsi"/>
        </w:rPr>
        <w:t>,</w:t>
      </w:r>
      <w:r w:rsidRPr="006B5A1B">
        <w:rPr>
          <w:rFonts w:asciiTheme="majorHAnsi" w:hAnsiTheme="majorHAnsi" w:cstheme="majorHAnsi"/>
        </w:rPr>
        <w:t xml:space="preserve"> will form the setting.  Electronic databases allow for ease in obtaining timely research from around the world.  The systematic review, in the form of a rapid systematic review, will provide the research </w:t>
      </w:r>
      <w:r>
        <w:rPr>
          <w:rFonts w:asciiTheme="majorHAnsi" w:hAnsiTheme="majorHAnsi" w:cstheme="majorHAnsi"/>
        </w:rPr>
        <w:t>methodology</w:t>
      </w:r>
      <w:r w:rsidRPr="006B5A1B">
        <w:rPr>
          <w:rFonts w:asciiTheme="majorHAnsi" w:hAnsiTheme="majorHAnsi" w:cstheme="majorHAnsi"/>
        </w:rPr>
        <w:t xml:space="preserve"> for examining 3 of the 4 research areas including </w:t>
      </w:r>
      <w:r>
        <w:rPr>
          <w:rFonts w:asciiTheme="majorHAnsi" w:hAnsiTheme="majorHAnsi" w:cstheme="majorHAnsi"/>
        </w:rPr>
        <w:t xml:space="preserve">risk factors, outcomes, and </w:t>
      </w:r>
      <w:r w:rsidRPr="006B5A1B">
        <w:rPr>
          <w:rFonts w:asciiTheme="majorHAnsi" w:hAnsiTheme="majorHAnsi" w:cstheme="majorHAnsi"/>
        </w:rPr>
        <w:t>interventions</w:t>
      </w:r>
      <w:r>
        <w:rPr>
          <w:rFonts w:asciiTheme="majorHAnsi" w:hAnsiTheme="majorHAnsi" w:cstheme="majorHAnsi"/>
        </w:rPr>
        <w:t xml:space="preserve"> </w:t>
      </w:r>
      <w:r w:rsidRPr="006B5A1B">
        <w:rPr>
          <w:rFonts w:asciiTheme="majorHAnsi" w:hAnsiTheme="majorHAnsi" w:cstheme="majorHAnsi"/>
        </w:rPr>
        <w:t xml:space="preserve">impacting youth homelessness, however a different research </w:t>
      </w:r>
      <w:r>
        <w:rPr>
          <w:rFonts w:asciiTheme="majorHAnsi" w:hAnsiTheme="majorHAnsi" w:cstheme="majorHAnsi"/>
        </w:rPr>
        <w:t>methodology</w:t>
      </w:r>
      <w:r w:rsidRPr="006B5A1B">
        <w:rPr>
          <w:rFonts w:asciiTheme="majorHAnsi" w:hAnsiTheme="majorHAnsi" w:cstheme="majorHAnsi"/>
        </w:rPr>
        <w:t xml:space="preserve"> was chosen for </w:t>
      </w:r>
      <w:r>
        <w:rPr>
          <w:rFonts w:asciiTheme="majorHAnsi" w:hAnsiTheme="majorHAnsi" w:cstheme="majorHAnsi"/>
        </w:rPr>
        <w:t>government</w:t>
      </w:r>
      <w:r w:rsidRPr="006B5A1B">
        <w:rPr>
          <w:rFonts w:asciiTheme="majorHAnsi" w:hAnsiTheme="majorHAnsi" w:cstheme="majorHAnsi"/>
        </w:rPr>
        <w:t xml:space="preserve"> policies</w:t>
      </w:r>
      <w:r>
        <w:rPr>
          <w:rFonts w:asciiTheme="majorHAnsi" w:hAnsiTheme="majorHAnsi" w:cstheme="majorHAnsi"/>
        </w:rPr>
        <w:t xml:space="preserve"> and programs</w:t>
      </w:r>
      <w:r w:rsidRPr="006B5A1B">
        <w:rPr>
          <w:rFonts w:asciiTheme="majorHAnsi" w:hAnsiTheme="majorHAnsi" w:cstheme="majorHAnsi"/>
        </w:rPr>
        <w:t>.</w:t>
      </w:r>
    </w:p>
    <w:p w14:paraId="74F5CE1E" w14:textId="32BBC502" w:rsidR="003C0A19" w:rsidRDefault="00C92EB7" w:rsidP="00DB2754">
      <w:pPr>
        <w:shd w:val="clear" w:color="auto" w:fill="FFFFFF"/>
        <w:spacing w:after="120" w:line="360" w:lineRule="auto"/>
        <w:ind w:firstLine="720"/>
      </w:pPr>
      <w:r w:rsidRPr="001C51D4">
        <w:rPr>
          <w:rFonts w:asciiTheme="majorHAnsi" w:hAnsiTheme="majorHAnsi" w:cstheme="majorHAnsi"/>
        </w:rPr>
        <w:t>The practicum project will utilize content analysis, to collect and analysis data on current national policies</w:t>
      </w:r>
      <w:r>
        <w:rPr>
          <w:rFonts w:asciiTheme="majorHAnsi" w:hAnsiTheme="majorHAnsi" w:cstheme="majorHAnsi"/>
        </w:rPr>
        <w:t xml:space="preserve"> and programs</w:t>
      </w:r>
      <w:r w:rsidRPr="001C51D4">
        <w:rPr>
          <w:rFonts w:asciiTheme="majorHAnsi" w:hAnsiTheme="majorHAnsi" w:cstheme="majorHAnsi"/>
        </w:rPr>
        <w:t xml:space="preserve"> regarding youth homelessness.  The content analysis will take place within the setting of a government</w:t>
      </w:r>
      <w:r w:rsidR="006B6263">
        <w:rPr>
          <w:rFonts w:asciiTheme="majorHAnsi" w:hAnsiTheme="majorHAnsi" w:cstheme="majorHAnsi"/>
        </w:rPr>
        <w:t xml:space="preserve"> </w:t>
      </w:r>
      <w:r w:rsidR="00211C5E" w:rsidRPr="001C51D4">
        <w:rPr>
          <w:rFonts w:asciiTheme="majorHAnsi" w:hAnsiTheme="majorHAnsi" w:cstheme="majorHAnsi"/>
        </w:rPr>
        <w:t>website</w:t>
      </w:r>
      <w:r w:rsidRPr="001C51D4">
        <w:rPr>
          <w:rFonts w:asciiTheme="majorHAnsi" w:hAnsiTheme="majorHAnsi" w:cstheme="majorHAnsi"/>
        </w:rPr>
        <w:t xml:space="preserve">.  This setting was chosen to </w:t>
      </w:r>
      <w:r w:rsidR="006B6263">
        <w:rPr>
          <w:rFonts w:asciiTheme="majorHAnsi" w:hAnsiTheme="majorHAnsi" w:cstheme="majorHAnsi"/>
        </w:rPr>
        <w:t xml:space="preserve">attempt to </w:t>
      </w:r>
      <w:r w:rsidRPr="001C51D4">
        <w:rPr>
          <w:rFonts w:asciiTheme="majorHAnsi" w:hAnsiTheme="majorHAnsi" w:cstheme="majorHAnsi"/>
        </w:rPr>
        <w:t>obtain the most up to date information on government</w:t>
      </w:r>
      <w:r w:rsidR="006B6263">
        <w:rPr>
          <w:rFonts w:asciiTheme="majorHAnsi" w:hAnsiTheme="majorHAnsi" w:cstheme="majorHAnsi"/>
        </w:rPr>
        <w:t xml:space="preserve"> </w:t>
      </w:r>
      <w:r w:rsidRPr="001C51D4">
        <w:rPr>
          <w:rFonts w:asciiTheme="majorHAnsi" w:hAnsiTheme="majorHAnsi" w:cstheme="majorHAnsi"/>
        </w:rPr>
        <w:t>programs dedicated to youth homelessness.  T</w:t>
      </w:r>
      <w:r w:rsidRPr="001C51D4">
        <w:t xml:space="preserve">he content analysis will consist of a thorough examination of webpage features such as hyperlinks, tabs, menus, and sidebars specifically dedicated to youth homelessness.  If such </w:t>
      </w:r>
      <w:proofErr w:type="gramStart"/>
      <w:r w:rsidRPr="001C51D4">
        <w:t>area</w:t>
      </w:r>
      <w:proofErr w:type="gramEnd"/>
      <w:r w:rsidRPr="001C51D4">
        <w:t xml:space="preserve"> exists, data collection will take place.  If no such section exists, a sitewide search will commence utilizing search queries, “youth housing program”, “youth homeless”, “youth housing”, “youth homelessness”, and “youth housing instability”.</w:t>
      </w:r>
    </w:p>
    <w:p w14:paraId="4C4BA0FF" w14:textId="129A81FA" w:rsidR="00C92EB7" w:rsidRPr="00C92EB7" w:rsidRDefault="003C0A19" w:rsidP="00DB2754">
      <w:pPr>
        <w:shd w:val="clear" w:color="auto" w:fill="FFFFFF"/>
        <w:spacing w:after="120" w:line="360" w:lineRule="auto"/>
        <w:ind w:firstLine="720"/>
      </w:pPr>
      <w:r>
        <w:t>The interview(s) will take place in person, virtually, or through</w:t>
      </w:r>
      <w:r w:rsidR="004E5EB4">
        <w:t xml:space="preserve"> written</w:t>
      </w:r>
      <w:r>
        <w:t xml:space="preserve"> correspondence.  Questions to be asked will include both background and information specific to YEH.  Background questions will aim to </w:t>
      </w:r>
      <w:r w:rsidR="004E5EB4">
        <w:t>provide some knowledge of the</w:t>
      </w:r>
      <w:r>
        <w:t xml:space="preserve"> organization</w:t>
      </w:r>
      <w:r w:rsidR="004E5EB4">
        <w:t xml:space="preserve"> and </w:t>
      </w:r>
      <w:proofErr w:type="gramStart"/>
      <w:r w:rsidR="004E5EB4">
        <w:t>respondent</w:t>
      </w:r>
      <w:proofErr w:type="gramEnd"/>
      <w:r w:rsidR="004E5EB4">
        <w:t xml:space="preserve">.  </w:t>
      </w:r>
      <w:r>
        <w:t xml:space="preserve">In </w:t>
      </w:r>
      <w:r w:rsidR="00C66410">
        <w:t>a</w:t>
      </w:r>
      <w:r>
        <w:t xml:space="preserve">ddition to </w:t>
      </w:r>
      <w:r w:rsidR="00C66410">
        <w:t>background</w:t>
      </w:r>
      <w:r>
        <w:t xml:space="preserve"> questions, three specific questions will be used including </w:t>
      </w:r>
      <w:proofErr w:type="gramStart"/>
      <w:r>
        <w:t>identify</w:t>
      </w:r>
      <w:proofErr w:type="gramEnd"/>
      <w:r>
        <w:t xml:space="preserve"> 3 risk factors to YEH, identify 3 outcomes of YEH, and 3 interventions </w:t>
      </w:r>
      <w:r w:rsidR="004E5EB4">
        <w:t>that the organization has observed.</w:t>
      </w:r>
    </w:p>
    <w:p w14:paraId="0C6C2F48" w14:textId="77777777" w:rsidR="00C92EB7" w:rsidRPr="006B5A1B" w:rsidRDefault="00C92EB7" w:rsidP="00DB2754">
      <w:pPr>
        <w:pStyle w:val="Default"/>
        <w:spacing w:line="360" w:lineRule="auto"/>
        <w:rPr>
          <w:rFonts w:asciiTheme="majorHAnsi" w:hAnsiTheme="majorHAnsi" w:cstheme="majorHAnsi"/>
          <w:b/>
          <w:bCs/>
          <w:color w:val="auto"/>
        </w:rPr>
      </w:pPr>
      <w:r w:rsidRPr="006B5A1B">
        <w:rPr>
          <w:rFonts w:asciiTheme="majorHAnsi" w:hAnsiTheme="majorHAnsi" w:cstheme="majorHAnsi"/>
          <w:b/>
          <w:bCs/>
          <w:color w:val="auto"/>
        </w:rPr>
        <w:t>Sample</w:t>
      </w:r>
    </w:p>
    <w:p w14:paraId="2D5E8C10" w14:textId="69B79905" w:rsidR="00C92EB7" w:rsidRDefault="00C92EB7" w:rsidP="00DB2754">
      <w:pPr>
        <w:shd w:val="clear" w:color="auto" w:fill="FFFFFF"/>
        <w:spacing w:after="120" w:line="360" w:lineRule="auto"/>
        <w:ind w:firstLine="720"/>
        <w:rPr>
          <w:rFonts w:asciiTheme="majorHAnsi" w:hAnsiTheme="majorHAnsi" w:cstheme="majorHAnsi"/>
        </w:rPr>
      </w:pPr>
      <w:r w:rsidRPr="006B5A1B">
        <w:rPr>
          <w:rFonts w:asciiTheme="majorHAnsi" w:hAnsiTheme="majorHAnsi" w:cstheme="majorHAnsi"/>
        </w:rPr>
        <w:t xml:space="preserve">A variety of databases were considered for the sample of the rapid literature review such as PubMed, CINAHL, and </w:t>
      </w:r>
      <w:proofErr w:type="spellStart"/>
      <w:r w:rsidRPr="006B5A1B">
        <w:rPr>
          <w:rFonts w:asciiTheme="majorHAnsi" w:hAnsiTheme="majorHAnsi" w:cstheme="majorHAnsi"/>
        </w:rPr>
        <w:t>PsychInfo</w:t>
      </w:r>
      <w:proofErr w:type="spellEnd"/>
      <w:r w:rsidRPr="006B5A1B">
        <w:rPr>
          <w:rFonts w:asciiTheme="majorHAnsi" w:hAnsiTheme="majorHAnsi" w:cstheme="majorHAnsi"/>
        </w:rPr>
        <w:t xml:space="preserve">.  Ultimately </w:t>
      </w:r>
      <w:proofErr w:type="spellStart"/>
      <w:r w:rsidRPr="006B5A1B">
        <w:rPr>
          <w:rFonts w:asciiTheme="majorHAnsi" w:hAnsiTheme="majorHAnsi" w:cstheme="majorHAnsi"/>
        </w:rPr>
        <w:t>PubMED</w:t>
      </w:r>
      <w:proofErr w:type="spellEnd"/>
      <w:r w:rsidRPr="006B5A1B">
        <w:rPr>
          <w:rFonts w:asciiTheme="majorHAnsi" w:hAnsiTheme="majorHAnsi" w:cstheme="majorHAnsi"/>
        </w:rPr>
        <w:t xml:space="preserve"> was chosen.  PubMed was chosen as it contains a breath of content in in a variety of life science and biomedical topics, as well as its status as being maintained the United States National Library of Medicine.</w:t>
      </w:r>
      <w:proofErr w:type="gramStart"/>
      <w:r>
        <w:rPr>
          <w:rFonts w:asciiTheme="majorHAnsi" w:hAnsiTheme="majorHAnsi" w:cstheme="majorHAnsi"/>
          <w:vertAlign w:val="superscript"/>
        </w:rPr>
        <w:t>1</w:t>
      </w:r>
      <w:r w:rsidR="00387D48">
        <w:rPr>
          <w:rFonts w:asciiTheme="majorHAnsi" w:hAnsiTheme="majorHAnsi" w:cstheme="majorHAnsi"/>
          <w:vertAlign w:val="superscript"/>
        </w:rPr>
        <w:t>4</w:t>
      </w:r>
      <w:r w:rsidRPr="006B5A1B">
        <w:rPr>
          <w:rFonts w:asciiTheme="majorHAnsi" w:hAnsiTheme="majorHAnsi" w:cstheme="majorHAnsi"/>
        </w:rPr>
        <w:t xml:space="preserve">  Additionally</w:t>
      </w:r>
      <w:proofErr w:type="gramEnd"/>
      <w:r w:rsidRPr="006B5A1B">
        <w:rPr>
          <w:rFonts w:asciiTheme="majorHAnsi" w:hAnsiTheme="majorHAnsi" w:cstheme="majorHAnsi"/>
        </w:rPr>
        <w:t xml:space="preserve">, PubMed is a free to use source, allowing ease </w:t>
      </w:r>
      <w:r w:rsidR="004E5EB4">
        <w:rPr>
          <w:rFonts w:asciiTheme="majorHAnsi" w:hAnsiTheme="majorHAnsi" w:cstheme="majorHAnsi"/>
        </w:rPr>
        <w:t xml:space="preserve">for most readers </w:t>
      </w:r>
      <w:r w:rsidRPr="006B5A1B">
        <w:rPr>
          <w:rFonts w:asciiTheme="majorHAnsi" w:hAnsiTheme="majorHAnsi" w:cstheme="majorHAnsi"/>
        </w:rPr>
        <w:t xml:space="preserve">to review </w:t>
      </w:r>
      <w:r w:rsidR="004E5EB4">
        <w:rPr>
          <w:rFonts w:asciiTheme="majorHAnsi" w:hAnsiTheme="majorHAnsi" w:cstheme="majorHAnsi"/>
        </w:rPr>
        <w:t xml:space="preserve">current </w:t>
      </w:r>
      <w:r w:rsidRPr="006B5A1B">
        <w:rPr>
          <w:rFonts w:asciiTheme="majorHAnsi" w:hAnsiTheme="majorHAnsi" w:cstheme="majorHAnsi"/>
        </w:rPr>
        <w:t xml:space="preserve">research and </w:t>
      </w:r>
      <w:r w:rsidR="004E5EB4">
        <w:rPr>
          <w:rFonts w:asciiTheme="majorHAnsi" w:hAnsiTheme="majorHAnsi" w:cstheme="majorHAnsi"/>
        </w:rPr>
        <w:t>engage in future</w:t>
      </w:r>
      <w:r w:rsidRPr="006B5A1B">
        <w:rPr>
          <w:rFonts w:asciiTheme="majorHAnsi" w:hAnsiTheme="majorHAnsi" w:cstheme="majorHAnsi"/>
        </w:rPr>
        <w:t xml:space="preserve"> research.</w:t>
      </w:r>
    </w:p>
    <w:p w14:paraId="1F30106A" w14:textId="67A7FB57" w:rsidR="00C92EB7" w:rsidRPr="006B5A1B" w:rsidRDefault="00C92EB7" w:rsidP="00DB2754">
      <w:pPr>
        <w:shd w:val="clear" w:color="auto" w:fill="FFFFFF"/>
        <w:spacing w:after="120" w:line="360" w:lineRule="auto"/>
        <w:ind w:firstLine="720"/>
        <w:rPr>
          <w:rFonts w:asciiTheme="majorHAnsi" w:hAnsiTheme="majorHAnsi" w:cstheme="majorHAnsi"/>
        </w:rPr>
      </w:pPr>
      <w:r w:rsidRPr="001C51D4">
        <w:lastRenderedPageBreak/>
        <w:t xml:space="preserve">In selecting the sample for content analysis, numerous federal departmental </w:t>
      </w:r>
      <w:r>
        <w:t xml:space="preserve">and agency </w:t>
      </w:r>
      <w:r w:rsidRPr="001C51D4">
        <w:t>websites were considered</w:t>
      </w:r>
      <w:r w:rsidR="004E5EB4">
        <w:t xml:space="preserve"> </w:t>
      </w:r>
      <w:r>
        <w:t>such HUD, HHS, and Federal Housing Administration were considered.  H</w:t>
      </w:r>
      <w:r w:rsidRPr="001C51D4">
        <w:t>owever</w:t>
      </w:r>
      <w:r>
        <w:t>,</w:t>
      </w:r>
      <w:r w:rsidRPr="001C51D4">
        <w:rPr>
          <w:rFonts w:asciiTheme="majorHAnsi" w:hAnsiTheme="majorHAnsi" w:cstheme="majorHAnsi"/>
        </w:rPr>
        <w:t xml:space="preserve"> the website youth.gov was ultimately chosen as youth.gov is the centralized source for information on workings of a total of 13 federal departments and 12 federal government agencies to support programs and </w:t>
      </w:r>
      <w:r>
        <w:rPr>
          <w:rFonts w:asciiTheme="majorHAnsi" w:hAnsiTheme="majorHAnsi" w:cstheme="majorHAnsi"/>
        </w:rPr>
        <w:t>services</w:t>
      </w:r>
      <w:r w:rsidRPr="001C51D4">
        <w:rPr>
          <w:rFonts w:asciiTheme="majorHAnsi" w:hAnsiTheme="majorHAnsi" w:cstheme="majorHAnsi"/>
        </w:rPr>
        <w:t xml:space="preserve"> focusing on youth.</w:t>
      </w:r>
      <w:r>
        <w:rPr>
          <w:rFonts w:asciiTheme="majorHAnsi" w:hAnsiTheme="majorHAnsi" w:cstheme="majorHAnsi"/>
          <w:vertAlign w:val="superscript"/>
        </w:rPr>
        <w:t>1</w:t>
      </w:r>
      <w:r w:rsidR="00387D48">
        <w:rPr>
          <w:rFonts w:asciiTheme="majorHAnsi" w:hAnsiTheme="majorHAnsi" w:cstheme="majorHAnsi"/>
          <w:vertAlign w:val="superscript"/>
        </w:rPr>
        <w:t>5</w:t>
      </w:r>
      <w:r w:rsidRPr="001C51D4">
        <w:rPr>
          <w:rFonts w:asciiTheme="majorHAnsi" w:hAnsiTheme="majorHAnsi" w:cstheme="majorHAnsi"/>
        </w:rPr>
        <w:t xml:space="preserve">  </w:t>
      </w:r>
      <w:r w:rsidRPr="006B5A1B">
        <w:rPr>
          <w:rFonts w:asciiTheme="majorHAnsi" w:hAnsiTheme="majorHAnsi" w:cstheme="majorHAnsi"/>
        </w:rPr>
        <w:t xml:space="preserve">  </w:t>
      </w:r>
    </w:p>
    <w:p w14:paraId="3088FE83" w14:textId="75E069A8" w:rsidR="003C0A19" w:rsidRPr="00C66410" w:rsidRDefault="003C0A19" w:rsidP="00DB2754">
      <w:pPr>
        <w:shd w:val="clear" w:color="auto" w:fill="FFFFFF"/>
        <w:spacing w:after="120" w:line="360" w:lineRule="auto"/>
        <w:ind w:firstLine="720"/>
        <w:rPr>
          <w:rFonts w:asciiTheme="majorHAnsi" w:hAnsiTheme="majorHAnsi" w:cstheme="majorHAnsi"/>
        </w:rPr>
      </w:pPr>
      <w:r>
        <w:t>The sampl</w:t>
      </w:r>
      <w:r w:rsidR="00C66410">
        <w:t>ing</w:t>
      </w:r>
      <w:r>
        <w:t xml:space="preserve"> for interview will consist of </w:t>
      </w:r>
      <w:r w:rsidR="00C66410">
        <w:t xml:space="preserve">a convivence sample of organizations that are returned from a </w:t>
      </w:r>
      <w:r>
        <w:t xml:space="preserve">google </w:t>
      </w:r>
      <w:r w:rsidR="00C66410">
        <w:t xml:space="preserve">search of “youth homeless organizations” and professional colleagues.  </w:t>
      </w:r>
      <w:r w:rsidR="00387D48">
        <w:t xml:space="preserve">A total of 20 requests were sent for participation.  </w:t>
      </w:r>
      <w:r w:rsidR="00C66410">
        <w:t xml:space="preserve">After 20 </w:t>
      </w:r>
      <w:r w:rsidR="00DB2754">
        <w:t>requests</w:t>
      </w:r>
      <w:r w:rsidR="00C66410">
        <w:t xml:space="preserve"> were sent, 1 respondent was willing to participate</w:t>
      </w:r>
      <w:r w:rsidR="00B86180">
        <w:t xml:space="preserve"> </w:t>
      </w:r>
      <w:r w:rsidR="00C66410">
        <w:t>anonymously.</w:t>
      </w:r>
    </w:p>
    <w:p w14:paraId="57CAFEA5" w14:textId="771D0D02" w:rsidR="00C92EB7" w:rsidRPr="006B5A1B" w:rsidRDefault="00C92EB7" w:rsidP="00DB2754">
      <w:pPr>
        <w:spacing w:line="360" w:lineRule="auto"/>
        <w:rPr>
          <w:rFonts w:asciiTheme="majorHAnsi" w:hAnsiTheme="majorHAnsi" w:cstheme="majorHAnsi"/>
          <w:b/>
          <w:bCs/>
        </w:rPr>
      </w:pPr>
      <w:r w:rsidRPr="006B5A1B">
        <w:rPr>
          <w:rFonts w:asciiTheme="majorHAnsi" w:hAnsiTheme="majorHAnsi" w:cstheme="majorHAnsi"/>
          <w:b/>
          <w:bCs/>
        </w:rPr>
        <w:t>Data Collection</w:t>
      </w:r>
    </w:p>
    <w:p w14:paraId="2197D463" w14:textId="44B5327F" w:rsidR="00C92EB7" w:rsidRPr="001B5CE9" w:rsidRDefault="00C92EB7" w:rsidP="00DB2754">
      <w:pPr>
        <w:pStyle w:val="NoSpacing"/>
        <w:spacing w:line="360" w:lineRule="auto"/>
        <w:ind w:firstLine="720"/>
        <w:rPr>
          <w:rFonts w:asciiTheme="majorHAnsi" w:hAnsiTheme="majorHAnsi" w:cstheme="majorHAnsi"/>
        </w:rPr>
      </w:pPr>
      <w:r w:rsidRPr="006B5A1B">
        <w:rPr>
          <w:rFonts w:asciiTheme="majorHAnsi" w:hAnsiTheme="majorHAnsi" w:cstheme="majorHAnsi"/>
        </w:rPr>
        <w:t xml:space="preserve">Data collection will consist of running several search queries through the database, PubMed.  The search queries, youth + homeless + study + US + intervention, and youth + homeless+ reduce, will attempt to focus on publications that aim at interventions that reduce youth homelessness.  Search queries aimed at finding publication for risk factors related to youth homeless will </w:t>
      </w:r>
      <w:proofErr w:type="gramStart"/>
      <w:r w:rsidRPr="006B5A1B">
        <w:rPr>
          <w:rFonts w:asciiTheme="majorHAnsi" w:hAnsiTheme="majorHAnsi" w:cstheme="majorHAnsi"/>
        </w:rPr>
        <w:t>include,</w:t>
      </w:r>
      <w:proofErr w:type="gramEnd"/>
      <w:r w:rsidRPr="006B5A1B">
        <w:rPr>
          <w:rFonts w:asciiTheme="majorHAnsi" w:hAnsiTheme="majorHAnsi" w:cstheme="majorHAnsi"/>
        </w:rPr>
        <w:t xml:space="preserve"> youth + homeless + study + US + risk factor and youth + homeless + cause.  The final group of searches for outcomes related to youth </w:t>
      </w:r>
      <w:proofErr w:type="gramStart"/>
      <w:r w:rsidRPr="006B5A1B">
        <w:rPr>
          <w:rFonts w:asciiTheme="majorHAnsi" w:hAnsiTheme="majorHAnsi" w:cstheme="majorHAnsi"/>
        </w:rPr>
        <w:t>homelessness and</w:t>
      </w:r>
      <w:proofErr w:type="gramEnd"/>
      <w:r w:rsidRPr="006B5A1B">
        <w:rPr>
          <w:rFonts w:asciiTheme="majorHAnsi" w:hAnsiTheme="majorHAnsi" w:cstheme="majorHAnsi"/>
        </w:rPr>
        <w:t xml:space="preserve"> will consist </w:t>
      </w:r>
      <w:proofErr w:type="gramStart"/>
      <w:r w:rsidRPr="006B5A1B">
        <w:rPr>
          <w:rFonts w:asciiTheme="majorHAnsi" w:hAnsiTheme="majorHAnsi" w:cstheme="majorHAnsi"/>
        </w:rPr>
        <w:t>of,</w:t>
      </w:r>
      <w:proofErr w:type="gramEnd"/>
      <w:r w:rsidRPr="006B5A1B">
        <w:rPr>
          <w:rFonts w:asciiTheme="majorHAnsi" w:hAnsiTheme="majorHAnsi" w:cstheme="majorHAnsi"/>
        </w:rPr>
        <w:t xml:space="preserve"> youth + homeless + study + US + outcomes and youth + outcome + housing + US.  All searches will be conducted through PubMed with search filters publication date 5 years, text availability free full text, language English, and age child: birth-18 years.  All publications will </w:t>
      </w:r>
      <w:r>
        <w:rPr>
          <w:rFonts w:asciiTheme="majorHAnsi" w:hAnsiTheme="majorHAnsi" w:cstheme="majorHAnsi"/>
        </w:rPr>
        <w:t xml:space="preserve">undergo </w:t>
      </w:r>
      <w:r w:rsidRPr="006B5A1B">
        <w:rPr>
          <w:rFonts w:asciiTheme="majorHAnsi" w:hAnsiTheme="majorHAnsi" w:cstheme="majorHAnsi"/>
        </w:rPr>
        <w:t xml:space="preserve">a screening process to assess that the publication meets </w:t>
      </w:r>
      <w:r>
        <w:rPr>
          <w:rFonts w:asciiTheme="majorHAnsi" w:hAnsiTheme="majorHAnsi" w:cstheme="majorHAnsi"/>
        </w:rPr>
        <w:t xml:space="preserve">inclusion </w:t>
      </w:r>
      <w:r w:rsidRPr="006B5A1B">
        <w:rPr>
          <w:rFonts w:asciiTheme="majorHAnsi" w:hAnsiTheme="majorHAnsi" w:cstheme="majorHAnsi"/>
        </w:rPr>
        <w:t>criteria and NIH</w:t>
      </w:r>
      <w:r w:rsidR="00387D48">
        <w:rPr>
          <w:rFonts w:asciiTheme="majorHAnsi" w:hAnsiTheme="majorHAnsi" w:cstheme="majorHAnsi"/>
          <w:vertAlign w:val="superscript"/>
        </w:rPr>
        <w:t>16</w:t>
      </w:r>
      <w:r w:rsidRPr="006B5A1B">
        <w:rPr>
          <w:rFonts w:asciiTheme="majorHAnsi" w:hAnsiTheme="majorHAnsi" w:cstheme="majorHAnsi"/>
        </w:rPr>
        <w:t xml:space="preserve"> source quality assessment tool</w:t>
      </w:r>
      <w:r>
        <w:rPr>
          <w:rFonts w:asciiTheme="majorHAnsi" w:hAnsiTheme="majorHAnsi" w:cstheme="majorHAnsi"/>
        </w:rPr>
        <w:t xml:space="preserve"> for literature views will be used to ensure quality of data collected.  After undergoing data collection protocol, 25 source remained from </w:t>
      </w:r>
      <w:r w:rsidRPr="006B5A1B">
        <w:rPr>
          <w:rFonts w:asciiTheme="majorHAnsi" w:hAnsiTheme="majorHAnsi" w:cstheme="majorHAnsi"/>
        </w:rPr>
        <w:t>an initial search result of 368.</w:t>
      </w:r>
    </w:p>
    <w:p w14:paraId="1AAC1591" w14:textId="5BC6DD92" w:rsidR="00C66410" w:rsidRPr="00DB2754" w:rsidRDefault="00C92EB7" w:rsidP="00DB2754">
      <w:pPr>
        <w:pStyle w:val="NoSpacing"/>
        <w:spacing w:line="360" w:lineRule="auto"/>
        <w:ind w:firstLine="720"/>
        <w:rPr>
          <w:rFonts w:ascii="Times New Roman" w:hAnsi="Times New Roman" w:cs="Times New Roman"/>
        </w:rPr>
      </w:pPr>
      <w:r w:rsidRPr="001B5CE9">
        <w:rPr>
          <w:rFonts w:asciiTheme="majorHAnsi" w:hAnsiTheme="majorHAnsi" w:cstheme="majorHAnsi"/>
        </w:rPr>
        <w:t>Data collection for the content analysis of youth.gov was implemented per the design stated within the section, “Design and Setting” section.  In reviewing the homepage, a “select your topic” drop down menu was observed.  Exploring the drop-down menu revealed “Homelessness and Housing Instability” as an option</w:t>
      </w:r>
      <w:r>
        <w:rPr>
          <w:rFonts w:asciiTheme="majorHAnsi" w:hAnsiTheme="majorHAnsi" w:cstheme="majorHAnsi"/>
          <w:vertAlign w:val="superscript"/>
        </w:rPr>
        <w:t>1</w:t>
      </w:r>
      <w:r w:rsidR="00387D48">
        <w:rPr>
          <w:rFonts w:asciiTheme="majorHAnsi" w:hAnsiTheme="majorHAnsi" w:cstheme="majorHAnsi"/>
          <w:vertAlign w:val="superscript"/>
        </w:rPr>
        <w:t>5</w:t>
      </w:r>
      <w:r w:rsidRPr="001B5CE9">
        <w:rPr>
          <w:rFonts w:asciiTheme="majorHAnsi" w:hAnsiTheme="majorHAnsi" w:cstheme="majorHAnsi"/>
        </w:rPr>
        <w:t xml:space="preserve">.  A total of 20 federal programs were </w:t>
      </w:r>
      <w:r w:rsidRPr="00DB2754">
        <w:rPr>
          <w:rFonts w:ascii="Times New Roman" w:hAnsi="Times New Roman" w:cs="Times New Roman"/>
        </w:rPr>
        <w:t>found after selecting “Homelessness and Housing Instability”</w:t>
      </w:r>
      <w:r w:rsidR="00387D48">
        <w:rPr>
          <w:rFonts w:ascii="Times New Roman" w:hAnsi="Times New Roman" w:cs="Times New Roman"/>
          <w:vertAlign w:val="superscript"/>
        </w:rPr>
        <w:t>17</w:t>
      </w:r>
      <w:r w:rsidRPr="00DB2754">
        <w:rPr>
          <w:rFonts w:ascii="Times New Roman" w:hAnsi="Times New Roman" w:cs="Times New Roman"/>
        </w:rPr>
        <w:t xml:space="preserve"> and will undergo data analysis.   </w:t>
      </w:r>
    </w:p>
    <w:p w14:paraId="4D5E7210" w14:textId="0E6F86B9" w:rsidR="00DB2754" w:rsidRPr="00DB2754" w:rsidRDefault="00DB2754" w:rsidP="00DB2754">
      <w:pPr>
        <w:pStyle w:val="NoSpacing"/>
        <w:spacing w:line="360" w:lineRule="auto"/>
        <w:ind w:firstLine="720"/>
        <w:rPr>
          <w:rFonts w:ascii="Times New Roman" w:hAnsi="Times New Roman" w:cs="Times New Roman"/>
          <w:b/>
          <w:bCs/>
        </w:rPr>
      </w:pPr>
      <w:r w:rsidRPr="00DB2754">
        <w:rPr>
          <w:rFonts w:ascii="Times New Roman" w:hAnsi="Times New Roman" w:cs="Times New Roman"/>
        </w:rPr>
        <w:t xml:space="preserve">Data collection for the interview was implemented per the design stated within the section, “Design and Setting” section.  Background questions about the organization included what is the organization’s type, target population age, purpose, and date of establishment?  </w:t>
      </w:r>
      <w:r w:rsidRPr="00DB2754">
        <w:rPr>
          <w:rFonts w:ascii="Times New Roman" w:hAnsi="Times New Roman" w:cs="Times New Roman"/>
        </w:rPr>
        <w:lastRenderedPageBreak/>
        <w:t xml:space="preserve">Background questions regarding the respondent included what are your qualifications, what is your role with YEH, and how many years have you been with organization?  Three focus questions regarding YEH were also asked including what are 3 risk factors of youth homelessness </w:t>
      </w:r>
      <w:r w:rsidR="004E5EB4">
        <w:rPr>
          <w:rFonts w:ascii="Times New Roman" w:hAnsi="Times New Roman" w:cs="Times New Roman"/>
        </w:rPr>
        <w:t xml:space="preserve">that </w:t>
      </w:r>
      <w:r w:rsidRPr="00DB2754">
        <w:rPr>
          <w:rFonts w:ascii="Times New Roman" w:hAnsi="Times New Roman" w:cs="Times New Roman"/>
        </w:rPr>
        <w:t xml:space="preserve">you observe in your work, what are 3 outcomes of youth homelessness that you observe in your work, and what are interventions of youth homelessness </w:t>
      </w:r>
      <w:r w:rsidR="004E5EB4">
        <w:rPr>
          <w:rFonts w:ascii="Times New Roman" w:hAnsi="Times New Roman" w:cs="Times New Roman"/>
        </w:rPr>
        <w:t>that</w:t>
      </w:r>
      <w:r w:rsidRPr="00DB2754">
        <w:rPr>
          <w:rFonts w:ascii="Times New Roman" w:hAnsi="Times New Roman" w:cs="Times New Roman"/>
        </w:rPr>
        <w:t xml:space="preserve"> you observe in your work?</w:t>
      </w:r>
    </w:p>
    <w:p w14:paraId="12AA2DE9" w14:textId="33F65011" w:rsidR="00C92EB7" w:rsidRPr="00DB2754" w:rsidRDefault="00C92EB7" w:rsidP="00DB2754">
      <w:pPr>
        <w:spacing w:line="360" w:lineRule="auto"/>
        <w:rPr>
          <w:b/>
          <w:bCs/>
        </w:rPr>
      </w:pPr>
      <w:r w:rsidRPr="00DB2754">
        <w:rPr>
          <w:b/>
          <w:bCs/>
        </w:rPr>
        <w:t xml:space="preserve">Measurements </w:t>
      </w:r>
    </w:p>
    <w:p w14:paraId="25B0006A" w14:textId="77777777" w:rsidR="00C92EB7" w:rsidRPr="006B5A1B" w:rsidRDefault="00C92EB7" w:rsidP="00DB2754">
      <w:pPr>
        <w:pStyle w:val="NoSpacing"/>
        <w:spacing w:line="360" w:lineRule="auto"/>
        <w:ind w:firstLine="720"/>
        <w:rPr>
          <w:rFonts w:asciiTheme="majorHAnsi" w:hAnsiTheme="majorHAnsi" w:cstheme="majorHAnsi"/>
        </w:rPr>
      </w:pPr>
      <w:r w:rsidRPr="00DB2754">
        <w:rPr>
          <w:rFonts w:ascii="Times New Roman" w:hAnsi="Times New Roman" w:cs="Times New Roman"/>
        </w:rPr>
        <w:t>Measurements for literature review will consist of age, location, study design, and</w:t>
      </w:r>
      <w:r w:rsidRPr="00DB2754">
        <w:rPr>
          <w:rFonts w:asciiTheme="majorHAnsi" w:hAnsiTheme="majorHAnsi" w:cstheme="majorHAnsi"/>
        </w:rPr>
        <w:t xml:space="preserve"> </w:t>
      </w:r>
      <w:r>
        <w:rPr>
          <w:rFonts w:asciiTheme="majorHAnsi" w:hAnsiTheme="majorHAnsi" w:cstheme="majorHAnsi"/>
        </w:rPr>
        <w:t xml:space="preserve">themes.   </w:t>
      </w:r>
      <w:proofErr w:type="gramStart"/>
      <w:r>
        <w:rPr>
          <w:rFonts w:asciiTheme="majorHAnsi" w:hAnsiTheme="majorHAnsi" w:cstheme="majorHAnsi"/>
        </w:rPr>
        <w:t>Age,</w:t>
      </w:r>
      <w:proofErr w:type="gramEnd"/>
      <w:r>
        <w:rPr>
          <w:rFonts w:asciiTheme="majorHAnsi" w:hAnsiTheme="majorHAnsi" w:cstheme="majorHAnsi"/>
        </w:rPr>
        <w:t xml:space="preserve"> will include the source’s target population age.  </w:t>
      </w:r>
      <w:proofErr w:type="gramStart"/>
      <w:r>
        <w:rPr>
          <w:rFonts w:asciiTheme="majorHAnsi" w:hAnsiTheme="majorHAnsi" w:cstheme="majorHAnsi"/>
        </w:rPr>
        <w:t>Location,</w:t>
      </w:r>
      <w:proofErr w:type="gramEnd"/>
      <w:r>
        <w:rPr>
          <w:rFonts w:asciiTheme="majorHAnsi" w:hAnsiTheme="majorHAnsi" w:cstheme="majorHAnsi"/>
        </w:rPr>
        <w:t xml:space="preserve"> will consist of where the study participants were located.  </w:t>
      </w:r>
      <w:proofErr w:type="gramStart"/>
      <w:r>
        <w:rPr>
          <w:rFonts w:asciiTheme="majorHAnsi" w:hAnsiTheme="majorHAnsi" w:cstheme="majorHAnsi"/>
        </w:rPr>
        <w:t>Study design,</w:t>
      </w:r>
      <w:proofErr w:type="gramEnd"/>
      <w:r>
        <w:rPr>
          <w:rFonts w:asciiTheme="majorHAnsi" w:hAnsiTheme="majorHAnsi" w:cstheme="majorHAnsi"/>
        </w:rPr>
        <w:t xml:space="preserve"> will include whether the research was cross-sectional, experimental, longitudinal, or retrospective.   The themes will qualitatively evaluate the content of the source, with respect to the research focus of identifying</w:t>
      </w:r>
      <w:r w:rsidRPr="00EB3837">
        <w:rPr>
          <w:rFonts w:asciiTheme="majorHAnsi" w:hAnsiTheme="majorHAnsi" w:cstheme="majorHAnsi"/>
        </w:rPr>
        <w:t xml:space="preserve"> </w:t>
      </w:r>
      <w:r>
        <w:rPr>
          <w:rFonts w:asciiTheme="majorHAnsi" w:hAnsiTheme="majorHAnsi" w:cstheme="majorHAnsi"/>
        </w:rPr>
        <w:t>r</w:t>
      </w:r>
      <w:r w:rsidRPr="006B5A1B">
        <w:rPr>
          <w:rFonts w:asciiTheme="majorHAnsi" w:hAnsiTheme="majorHAnsi" w:cstheme="majorHAnsi"/>
        </w:rPr>
        <w:t xml:space="preserve">isk factors, outcomes, </w:t>
      </w:r>
      <w:r>
        <w:rPr>
          <w:rFonts w:asciiTheme="majorHAnsi" w:hAnsiTheme="majorHAnsi" w:cstheme="majorHAnsi"/>
        </w:rPr>
        <w:t xml:space="preserve">and </w:t>
      </w:r>
      <w:r w:rsidRPr="006B5A1B">
        <w:rPr>
          <w:rFonts w:asciiTheme="majorHAnsi" w:hAnsiTheme="majorHAnsi" w:cstheme="majorHAnsi"/>
        </w:rPr>
        <w:t xml:space="preserve">interventions focused on </w:t>
      </w:r>
      <w:r>
        <w:rPr>
          <w:rFonts w:asciiTheme="majorHAnsi" w:hAnsiTheme="majorHAnsi" w:cstheme="majorHAnsi"/>
        </w:rPr>
        <w:t xml:space="preserve">YEH.  The Content analysis of youth.gov will use program focus(es) as a measurement.  These program focuses will include housing, financial support, nutritional support, and supportive services. </w:t>
      </w:r>
    </w:p>
    <w:p w14:paraId="6C0CA1E5" w14:textId="77777777" w:rsidR="00C92EB7" w:rsidRPr="006B5A1B" w:rsidRDefault="00C92EB7" w:rsidP="00C92EB7">
      <w:pPr>
        <w:rPr>
          <w:rFonts w:asciiTheme="majorHAnsi" w:hAnsiTheme="majorHAnsi" w:cstheme="majorHAnsi"/>
        </w:rPr>
        <w:sectPr w:rsidR="00C92EB7" w:rsidRPr="006B5A1B" w:rsidSect="007B4B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3BABC1A8" w14:textId="77777777" w:rsidR="00C92EB7" w:rsidRPr="006B5A1B" w:rsidRDefault="00C92EB7" w:rsidP="00C92EB7">
      <w:pPr>
        <w:rPr>
          <w:rFonts w:asciiTheme="majorHAnsi" w:hAnsiTheme="majorHAnsi" w:cstheme="majorHAnsi"/>
          <w:b/>
          <w:bCs/>
        </w:rPr>
      </w:pPr>
      <w:r w:rsidRPr="006B5A1B">
        <w:rPr>
          <w:rFonts w:asciiTheme="majorHAnsi" w:hAnsiTheme="majorHAnsi" w:cstheme="majorHAnsi"/>
          <w:b/>
          <w:bCs/>
        </w:rPr>
        <w:lastRenderedPageBreak/>
        <w:t>Data Analysis</w:t>
      </w:r>
    </w:p>
    <w:p w14:paraId="4731206C" w14:textId="77777777" w:rsidR="00C92EB7" w:rsidRPr="006B5A1B" w:rsidRDefault="00C92EB7" w:rsidP="00C92EB7">
      <w:pPr>
        <w:rPr>
          <w:rFonts w:asciiTheme="majorHAnsi" w:hAnsiTheme="majorHAnsi" w:cstheme="majorHAnsi"/>
        </w:rPr>
      </w:pPr>
    </w:p>
    <w:tbl>
      <w:tblPr>
        <w:tblW w:w="13135" w:type="dxa"/>
        <w:tblLayout w:type="fixed"/>
        <w:tblLook w:val="04A0" w:firstRow="1" w:lastRow="0" w:firstColumn="1" w:lastColumn="0" w:noHBand="0" w:noVBand="1"/>
      </w:tblPr>
      <w:tblGrid>
        <w:gridCol w:w="1401"/>
        <w:gridCol w:w="1515"/>
        <w:gridCol w:w="1995"/>
        <w:gridCol w:w="1620"/>
        <w:gridCol w:w="2070"/>
        <w:gridCol w:w="2700"/>
        <w:gridCol w:w="1834"/>
      </w:tblGrid>
      <w:tr w:rsidR="00C92EB7" w:rsidRPr="00645B2D" w14:paraId="509F52FE" w14:textId="77777777" w:rsidTr="00A40DEB">
        <w:trPr>
          <w:trHeight w:val="280"/>
        </w:trPr>
        <w:tc>
          <w:tcPr>
            <w:tcW w:w="13135"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14:paraId="42B5B9A2" w14:textId="77777777" w:rsidR="00C92EB7" w:rsidRPr="00645B2D" w:rsidRDefault="00C92EB7" w:rsidP="00A40DEB">
            <w:pPr>
              <w:rPr>
                <w:color w:val="000000"/>
              </w:rPr>
            </w:pPr>
            <w:r w:rsidRPr="00645B2D">
              <w:rPr>
                <w:color w:val="000000"/>
              </w:rPr>
              <w:t>Table 1. Literature Review Data</w:t>
            </w:r>
          </w:p>
        </w:tc>
      </w:tr>
      <w:tr w:rsidR="00C92EB7" w:rsidRPr="00645B2D" w14:paraId="5F05B004" w14:textId="77777777" w:rsidTr="00A40DEB">
        <w:trPr>
          <w:trHeight w:val="280"/>
        </w:trPr>
        <w:tc>
          <w:tcPr>
            <w:tcW w:w="1401" w:type="dxa"/>
            <w:tcBorders>
              <w:top w:val="nil"/>
              <w:left w:val="single" w:sz="4" w:space="0" w:color="auto"/>
              <w:bottom w:val="single" w:sz="4" w:space="0" w:color="auto"/>
              <w:right w:val="single" w:sz="4" w:space="0" w:color="auto"/>
            </w:tcBorders>
            <w:shd w:val="clear" w:color="auto" w:fill="auto"/>
            <w:hideMark/>
          </w:tcPr>
          <w:p w14:paraId="0B3FBDA2" w14:textId="77777777" w:rsidR="00C92EB7" w:rsidRPr="00645B2D" w:rsidRDefault="00C92EB7" w:rsidP="00A40DEB">
            <w:pPr>
              <w:jc w:val="center"/>
            </w:pPr>
            <w:r w:rsidRPr="00645B2D">
              <w:t>Citation</w:t>
            </w:r>
          </w:p>
        </w:tc>
        <w:tc>
          <w:tcPr>
            <w:tcW w:w="1515" w:type="dxa"/>
            <w:tcBorders>
              <w:top w:val="nil"/>
              <w:left w:val="nil"/>
              <w:bottom w:val="single" w:sz="4" w:space="0" w:color="auto"/>
              <w:right w:val="single" w:sz="4" w:space="0" w:color="auto"/>
            </w:tcBorders>
            <w:shd w:val="clear" w:color="auto" w:fill="auto"/>
            <w:noWrap/>
            <w:hideMark/>
          </w:tcPr>
          <w:p w14:paraId="275A9DC9" w14:textId="77777777" w:rsidR="00C92EB7" w:rsidRPr="00645B2D" w:rsidRDefault="00C92EB7" w:rsidP="00A40DEB">
            <w:pPr>
              <w:jc w:val="center"/>
            </w:pPr>
            <w:r w:rsidRPr="00645B2D">
              <w:t>Age</w:t>
            </w:r>
          </w:p>
        </w:tc>
        <w:tc>
          <w:tcPr>
            <w:tcW w:w="1995" w:type="dxa"/>
            <w:tcBorders>
              <w:top w:val="nil"/>
              <w:left w:val="nil"/>
              <w:bottom w:val="single" w:sz="4" w:space="0" w:color="auto"/>
              <w:right w:val="single" w:sz="4" w:space="0" w:color="auto"/>
            </w:tcBorders>
            <w:shd w:val="clear" w:color="auto" w:fill="auto"/>
            <w:noWrap/>
            <w:hideMark/>
          </w:tcPr>
          <w:p w14:paraId="5A63E8C2" w14:textId="77777777" w:rsidR="00C92EB7" w:rsidRPr="00645B2D" w:rsidRDefault="00C92EB7" w:rsidP="00A40DEB">
            <w:pPr>
              <w:jc w:val="center"/>
            </w:pPr>
            <w:r w:rsidRPr="00645B2D">
              <w:t>Location</w:t>
            </w:r>
          </w:p>
        </w:tc>
        <w:tc>
          <w:tcPr>
            <w:tcW w:w="1620" w:type="dxa"/>
            <w:tcBorders>
              <w:top w:val="nil"/>
              <w:left w:val="nil"/>
              <w:bottom w:val="single" w:sz="4" w:space="0" w:color="auto"/>
              <w:right w:val="single" w:sz="4" w:space="0" w:color="auto"/>
            </w:tcBorders>
            <w:shd w:val="clear" w:color="auto" w:fill="auto"/>
            <w:noWrap/>
            <w:hideMark/>
          </w:tcPr>
          <w:p w14:paraId="45E531EB" w14:textId="77777777" w:rsidR="00C92EB7" w:rsidRPr="00645B2D" w:rsidRDefault="00C92EB7" w:rsidP="00A40DEB">
            <w:pPr>
              <w:jc w:val="center"/>
            </w:pPr>
            <w:r w:rsidRPr="00645B2D">
              <w:t>Study Design</w:t>
            </w:r>
          </w:p>
        </w:tc>
        <w:tc>
          <w:tcPr>
            <w:tcW w:w="2070" w:type="dxa"/>
            <w:tcBorders>
              <w:top w:val="nil"/>
              <w:left w:val="nil"/>
              <w:bottom w:val="single" w:sz="4" w:space="0" w:color="auto"/>
              <w:right w:val="single" w:sz="4" w:space="0" w:color="auto"/>
            </w:tcBorders>
            <w:shd w:val="clear" w:color="auto" w:fill="auto"/>
            <w:hideMark/>
          </w:tcPr>
          <w:p w14:paraId="04B8DD3D" w14:textId="77777777" w:rsidR="00C92EB7" w:rsidRPr="00645B2D" w:rsidRDefault="00C92EB7" w:rsidP="00A40DEB">
            <w:pPr>
              <w:jc w:val="center"/>
            </w:pPr>
            <w:r w:rsidRPr="00645B2D">
              <w:t>Objective(s)</w:t>
            </w:r>
          </w:p>
        </w:tc>
        <w:tc>
          <w:tcPr>
            <w:tcW w:w="2700" w:type="dxa"/>
            <w:tcBorders>
              <w:top w:val="nil"/>
              <w:left w:val="nil"/>
              <w:bottom w:val="single" w:sz="4" w:space="0" w:color="auto"/>
              <w:right w:val="single" w:sz="4" w:space="0" w:color="auto"/>
            </w:tcBorders>
            <w:shd w:val="clear" w:color="auto" w:fill="auto"/>
            <w:noWrap/>
            <w:hideMark/>
          </w:tcPr>
          <w:p w14:paraId="430C30F8" w14:textId="77777777" w:rsidR="00C92EB7" w:rsidRPr="00645B2D" w:rsidRDefault="00C92EB7" w:rsidP="00A40DEB">
            <w:pPr>
              <w:jc w:val="center"/>
            </w:pPr>
            <w:r w:rsidRPr="00645B2D">
              <w:t>Notable Results</w:t>
            </w:r>
          </w:p>
        </w:tc>
        <w:tc>
          <w:tcPr>
            <w:tcW w:w="1834" w:type="dxa"/>
            <w:tcBorders>
              <w:top w:val="nil"/>
              <w:left w:val="nil"/>
              <w:bottom w:val="single" w:sz="4" w:space="0" w:color="auto"/>
              <w:right w:val="single" w:sz="4" w:space="0" w:color="auto"/>
            </w:tcBorders>
            <w:shd w:val="clear" w:color="auto" w:fill="auto"/>
            <w:noWrap/>
            <w:hideMark/>
          </w:tcPr>
          <w:p w14:paraId="45BF82B2" w14:textId="77777777" w:rsidR="00C92EB7" w:rsidRPr="00645B2D" w:rsidRDefault="00C92EB7" w:rsidP="00A40DEB">
            <w:pPr>
              <w:jc w:val="center"/>
            </w:pPr>
            <w:r w:rsidRPr="00645B2D">
              <w:t>Themes</w:t>
            </w:r>
          </w:p>
        </w:tc>
      </w:tr>
      <w:tr w:rsidR="00C92EB7" w:rsidRPr="00645B2D" w14:paraId="6F7F74EF" w14:textId="77777777" w:rsidTr="00A40DEB">
        <w:trPr>
          <w:trHeight w:val="1997"/>
        </w:trPr>
        <w:tc>
          <w:tcPr>
            <w:tcW w:w="1401" w:type="dxa"/>
            <w:tcBorders>
              <w:top w:val="nil"/>
              <w:left w:val="single" w:sz="4" w:space="0" w:color="auto"/>
              <w:bottom w:val="single" w:sz="4" w:space="0" w:color="auto"/>
              <w:right w:val="single" w:sz="4" w:space="0" w:color="auto"/>
            </w:tcBorders>
            <w:shd w:val="clear" w:color="auto" w:fill="auto"/>
            <w:hideMark/>
          </w:tcPr>
          <w:p w14:paraId="783E82FC" w14:textId="118184B6" w:rsidR="00C92EB7" w:rsidRPr="00645B2D" w:rsidRDefault="00C92EB7" w:rsidP="00A40DEB">
            <w:r w:rsidRPr="00645B2D">
              <w:t>Boudreaux et al</w:t>
            </w:r>
            <w:r w:rsidR="00387D48">
              <w:rPr>
                <w:vertAlign w:val="superscript"/>
              </w:rPr>
              <w:t>18</w:t>
            </w:r>
          </w:p>
        </w:tc>
        <w:tc>
          <w:tcPr>
            <w:tcW w:w="1515" w:type="dxa"/>
            <w:tcBorders>
              <w:top w:val="nil"/>
              <w:left w:val="nil"/>
              <w:bottom w:val="single" w:sz="4" w:space="0" w:color="auto"/>
              <w:right w:val="single" w:sz="4" w:space="0" w:color="auto"/>
            </w:tcBorders>
            <w:shd w:val="clear" w:color="auto" w:fill="auto"/>
            <w:hideMark/>
          </w:tcPr>
          <w:p w14:paraId="1133EF37" w14:textId="77777777" w:rsidR="00C92EB7" w:rsidRPr="00645B2D" w:rsidRDefault="00C92EB7" w:rsidP="00A40DEB">
            <w:r>
              <w:t>A</w:t>
            </w:r>
            <w:r w:rsidRPr="00645B2D">
              <w:t xml:space="preserve">ges 0-17 </w:t>
            </w:r>
          </w:p>
        </w:tc>
        <w:tc>
          <w:tcPr>
            <w:tcW w:w="1995" w:type="dxa"/>
            <w:tcBorders>
              <w:top w:val="nil"/>
              <w:left w:val="nil"/>
              <w:bottom w:val="single" w:sz="4" w:space="0" w:color="auto"/>
              <w:right w:val="single" w:sz="4" w:space="0" w:color="auto"/>
            </w:tcBorders>
            <w:shd w:val="clear" w:color="auto" w:fill="auto"/>
            <w:hideMark/>
          </w:tcPr>
          <w:p w14:paraId="106CD997" w14:textId="77777777" w:rsidR="00C92EB7" w:rsidRPr="00645B2D" w:rsidRDefault="00C92EB7" w:rsidP="00A40DEB">
            <w:r w:rsidRPr="00645B2D">
              <w:t>National (US)</w:t>
            </w:r>
          </w:p>
        </w:tc>
        <w:tc>
          <w:tcPr>
            <w:tcW w:w="1620" w:type="dxa"/>
            <w:tcBorders>
              <w:top w:val="nil"/>
              <w:left w:val="nil"/>
              <w:bottom w:val="single" w:sz="4" w:space="0" w:color="auto"/>
              <w:right w:val="single" w:sz="4" w:space="0" w:color="auto"/>
            </w:tcBorders>
            <w:shd w:val="clear" w:color="auto" w:fill="auto"/>
            <w:hideMark/>
          </w:tcPr>
          <w:p w14:paraId="3AE429B5" w14:textId="77777777" w:rsidR="00C92EB7" w:rsidRPr="00645B2D" w:rsidRDefault="00C92EB7" w:rsidP="00A40DEB">
            <w:r w:rsidRPr="00645B2D">
              <w:t>Cross</w:t>
            </w:r>
            <w:r>
              <w:t>-</w:t>
            </w:r>
            <w:r w:rsidRPr="00645B2D">
              <w:t xml:space="preserve"> sectional</w:t>
            </w:r>
          </w:p>
        </w:tc>
        <w:tc>
          <w:tcPr>
            <w:tcW w:w="2070" w:type="dxa"/>
            <w:tcBorders>
              <w:top w:val="nil"/>
              <w:left w:val="nil"/>
              <w:bottom w:val="single" w:sz="4" w:space="0" w:color="auto"/>
              <w:right w:val="single" w:sz="4" w:space="0" w:color="auto"/>
            </w:tcBorders>
            <w:shd w:val="clear" w:color="auto" w:fill="auto"/>
            <w:hideMark/>
          </w:tcPr>
          <w:p w14:paraId="5E20D2E7" w14:textId="77777777" w:rsidR="00C92EB7" w:rsidRPr="00645B2D" w:rsidRDefault="00C92EB7" w:rsidP="00A40DEB">
            <w:r w:rsidRPr="00645B2D">
              <w:t>Examine</w:t>
            </w:r>
            <w:r>
              <w:t xml:space="preserve"> the </w:t>
            </w:r>
            <w:r w:rsidRPr="00645B2D">
              <w:t>impact of HUD program participation on changes in asthma outcomes</w:t>
            </w:r>
            <w:r>
              <w:t>.</w:t>
            </w:r>
          </w:p>
        </w:tc>
        <w:tc>
          <w:tcPr>
            <w:tcW w:w="2700" w:type="dxa"/>
            <w:tcBorders>
              <w:top w:val="nil"/>
              <w:left w:val="nil"/>
              <w:bottom w:val="single" w:sz="4" w:space="0" w:color="auto"/>
              <w:right w:val="single" w:sz="4" w:space="0" w:color="auto"/>
            </w:tcBorders>
            <w:shd w:val="clear" w:color="auto" w:fill="auto"/>
            <w:hideMark/>
          </w:tcPr>
          <w:p w14:paraId="2C47D311" w14:textId="77777777" w:rsidR="00C92EB7" w:rsidRPr="00645B2D" w:rsidRDefault="00C92EB7" w:rsidP="00A40DEB">
            <w:r w:rsidRPr="00645B2D">
              <w:t>Emergency department use</w:t>
            </w:r>
            <w:r>
              <w:t xml:space="preserve"> </w:t>
            </w:r>
            <w:r w:rsidRPr="00645B2D">
              <w:t>was 15.3</w:t>
            </w:r>
            <w:r>
              <w:t xml:space="preserve">% </w:t>
            </w:r>
            <w:r w:rsidRPr="00645B2D">
              <w:t>lower among current HUD participants compared with the quasi–wait-list group</w:t>
            </w:r>
            <w:r>
              <w:t>.</w:t>
            </w:r>
          </w:p>
        </w:tc>
        <w:tc>
          <w:tcPr>
            <w:tcW w:w="1834" w:type="dxa"/>
            <w:tcBorders>
              <w:top w:val="nil"/>
              <w:left w:val="nil"/>
              <w:bottom w:val="single" w:sz="4" w:space="0" w:color="auto"/>
              <w:right w:val="single" w:sz="4" w:space="0" w:color="auto"/>
            </w:tcBorders>
            <w:shd w:val="clear" w:color="auto" w:fill="auto"/>
            <w:hideMark/>
          </w:tcPr>
          <w:p w14:paraId="5A790346" w14:textId="77777777" w:rsidR="00C92EB7" w:rsidRPr="00645B2D" w:rsidRDefault="00C92EB7" w:rsidP="00A40DEB">
            <w:pPr>
              <w:rPr>
                <w:color w:val="000000"/>
              </w:rPr>
            </w:pPr>
            <w:r w:rsidRPr="00645B2D">
              <w:rPr>
                <w:b/>
                <w:bCs/>
                <w:color w:val="000000"/>
              </w:rPr>
              <w:t>Outcomes</w:t>
            </w:r>
            <w:r w:rsidRPr="00645B2D">
              <w:rPr>
                <w:color w:val="000000"/>
              </w:rPr>
              <w:t>: poor physical health</w:t>
            </w:r>
          </w:p>
        </w:tc>
      </w:tr>
      <w:tr w:rsidR="00C92EB7" w:rsidRPr="00645B2D" w14:paraId="320DE409" w14:textId="77777777" w:rsidTr="00A40DEB">
        <w:trPr>
          <w:trHeight w:val="2753"/>
        </w:trPr>
        <w:tc>
          <w:tcPr>
            <w:tcW w:w="1401" w:type="dxa"/>
            <w:tcBorders>
              <w:top w:val="nil"/>
              <w:left w:val="single" w:sz="4" w:space="0" w:color="auto"/>
              <w:bottom w:val="single" w:sz="4" w:space="0" w:color="auto"/>
              <w:right w:val="single" w:sz="4" w:space="0" w:color="auto"/>
            </w:tcBorders>
            <w:shd w:val="clear" w:color="auto" w:fill="auto"/>
            <w:hideMark/>
          </w:tcPr>
          <w:p w14:paraId="07B5F33B" w14:textId="52913651" w:rsidR="00C92EB7" w:rsidRPr="00645B2D" w:rsidRDefault="00C92EB7" w:rsidP="00A40DEB">
            <w:r w:rsidRPr="00645B2D">
              <w:t>Damian et al</w:t>
            </w:r>
            <w:r w:rsidR="00387D48">
              <w:rPr>
                <w:vertAlign w:val="superscript"/>
              </w:rPr>
              <w:t>19</w:t>
            </w:r>
          </w:p>
        </w:tc>
        <w:tc>
          <w:tcPr>
            <w:tcW w:w="1515" w:type="dxa"/>
            <w:tcBorders>
              <w:top w:val="nil"/>
              <w:left w:val="nil"/>
              <w:bottom w:val="single" w:sz="4" w:space="0" w:color="auto"/>
              <w:right w:val="single" w:sz="4" w:space="0" w:color="auto"/>
            </w:tcBorders>
            <w:shd w:val="clear" w:color="auto" w:fill="auto"/>
            <w:hideMark/>
          </w:tcPr>
          <w:p w14:paraId="6A40E264" w14:textId="77777777" w:rsidR="00C92EB7" w:rsidRPr="00645B2D" w:rsidRDefault="00C92EB7" w:rsidP="00A40DEB">
            <w:r w:rsidRPr="00645B2D">
              <w:t>ages 14-24</w:t>
            </w:r>
          </w:p>
        </w:tc>
        <w:tc>
          <w:tcPr>
            <w:tcW w:w="1995" w:type="dxa"/>
            <w:tcBorders>
              <w:top w:val="nil"/>
              <w:left w:val="nil"/>
              <w:bottom w:val="single" w:sz="4" w:space="0" w:color="auto"/>
              <w:right w:val="single" w:sz="4" w:space="0" w:color="auto"/>
            </w:tcBorders>
            <w:shd w:val="clear" w:color="auto" w:fill="auto"/>
            <w:hideMark/>
          </w:tcPr>
          <w:p w14:paraId="563A0CDD" w14:textId="77777777" w:rsidR="00C92EB7" w:rsidRPr="00645B2D" w:rsidRDefault="00C92EB7" w:rsidP="00A40DEB">
            <w:r w:rsidRPr="00645B2D">
              <w:t>City/Metropolitan Area (New Britain, Connecticut)</w:t>
            </w:r>
          </w:p>
        </w:tc>
        <w:tc>
          <w:tcPr>
            <w:tcW w:w="1620" w:type="dxa"/>
            <w:tcBorders>
              <w:top w:val="nil"/>
              <w:left w:val="nil"/>
              <w:bottom w:val="single" w:sz="4" w:space="0" w:color="auto"/>
              <w:right w:val="single" w:sz="4" w:space="0" w:color="auto"/>
            </w:tcBorders>
            <w:shd w:val="clear" w:color="auto" w:fill="auto"/>
            <w:hideMark/>
          </w:tcPr>
          <w:p w14:paraId="0C0C61C4" w14:textId="77777777" w:rsidR="00C92EB7" w:rsidRPr="00645B2D" w:rsidRDefault="00C92EB7" w:rsidP="00A40DEB">
            <w:r>
              <w:t>L</w:t>
            </w:r>
            <w:r w:rsidRPr="00645B2D">
              <w:t>ongitudinal</w:t>
            </w:r>
          </w:p>
        </w:tc>
        <w:tc>
          <w:tcPr>
            <w:tcW w:w="2070" w:type="dxa"/>
            <w:tcBorders>
              <w:top w:val="nil"/>
              <w:left w:val="nil"/>
              <w:bottom w:val="single" w:sz="4" w:space="0" w:color="auto"/>
              <w:right w:val="single" w:sz="4" w:space="0" w:color="auto"/>
            </w:tcBorders>
            <w:shd w:val="clear" w:color="auto" w:fill="auto"/>
            <w:hideMark/>
          </w:tcPr>
          <w:p w14:paraId="520F49C2" w14:textId="77777777" w:rsidR="00C92EB7" w:rsidRPr="00645B2D" w:rsidRDefault="00C92EB7" w:rsidP="00A40DEB">
            <w:r w:rsidRPr="00645B2D">
              <w:t>Obtain an understanding of the health and health-related social needs of youths experiencing homelessness during the coronavirus disease (COVID-19) pandemic</w:t>
            </w:r>
            <w:r>
              <w:t>.</w:t>
            </w:r>
          </w:p>
        </w:tc>
        <w:tc>
          <w:tcPr>
            <w:tcW w:w="2700" w:type="dxa"/>
            <w:tcBorders>
              <w:top w:val="nil"/>
              <w:left w:val="nil"/>
              <w:bottom w:val="single" w:sz="4" w:space="0" w:color="auto"/>
              <w:right w:val="single" w:sz="4" w:space="0" w:color="auto"/>
            </w:tcBorders>
            <w:shd w:val="clear" w:color="auto" w:fill="auto"/>
            <w:hideMark/>
          </w:tcPr>
          <w:p w14:paraId="2F8D821A" w14:textId="77777777" w:rsidR="00C92EB7" w:rsidRPr="00645B2D" w:rsidRDefault="00C92EB7" w:rsidP="00A40DEB">
            <w:r w:rsidRPr="00645B2D">
              <w:t>Three major themes that appeared in the youths’ narratives include the following: mental health and substance use challenges, trouble accessing basic human needs, and lack of a social support system</w:t>
            </w:r>
            <w:r>
              <w:t>.</w:t>
            </w:r>
          </w:p>
        </w:tc>
        <w:tc>
          <w:tcPr>
            <w:tcW w:w="1834" w:type="dxa"/>
            <w:tcBorders>
              <w:top w:val="nil"/>
              <w:left w:val="nil"/>
              <w:bottom w:val="single" w:sz="4" w:space="0" w:color="auto"/>
              <w:right w:val="single" w:sz="4" w:space="0" w:color="auto"/>
            </w:tcBorders>
            <w:shd w:val="clear" w:color="auto" w:fill="auto"/>
            <w:hideMark/>
          </w:tcPr>
          <w:p w14:paraId="62C4E520" w14:textId="77777777" w:rsidR="00C92EB7" w:rsidRDefault="00C92EB7" w:rsidP="00A40DEB">
            <w:pPr>
              <w:rPr>
                <w:color w:val="000000"/>
              </w:rPr>
            </w:pPr>
            <w:r w:rsidRPr="00645B2D">
              <w:rPr>
                <w:b/>
                <w:bCs/>
                <w:color w:val="000000"/>
              </w:rPr>
              <w:t>Risk</w:t>
            </w:r>
            <w:r>
              <w:rPr>
                <w:b/>
                <w:bCs/>
                <w:color w:val="000000"/>
              </w:rPr>
              <w:t xml:space="preserve"> Factors</w:t>
            </w:r>
            <w:r w:rsidRPr="00645B2D">
              <w:rPr>
                <w:color w:val="000000"/>
              </w:rPr>
              <w:t>: LGBTQ+, ethnic/racial minority, history of housing instability/homelessness, poor mental health, alcohol use, substance use,</w:t>
            </w:r>
            <w:r>
              <w:rPr>
                <w:color w:val="000000"/>
              </w:rPr>
              <w:t xml:space="preserve"> </w:t>
            </w:r>
            <w:r w:rsidRPr="00645B2D">
              <w:rPr>
                <w:color w:val="000000"/>
              </w:rPr>
              <w:t>community/</w:t>
            </w:r>
          </w:p>
          <w:p w14:paraId="3696F9FB" w14:textId="77777777" w:rsidR="00C92EB7" w:rsidRDefault="00C92EB7" w:rsidP="00A40DEB">
            <w:pPr>
              <w:rPr>
                <w:color w:val="000000"/>
              </w:rPr>
            </w:pPr>
            <w:r w:rsidRPr="00645B2D">
              <w:rPr>
                <w:color w:val="000000"/>
              </w:rPr>
              <w:t>environmen</w:t>
            </w:r>
            <w:r>
              <w:rPr>
                <w:color w:val="000000"/>
              </w:rPr>
              <w:t>t</w:t>
            </w:r>
            <w:r w:rsidRPr="00645B2D">
              <w:rPr>
                <w:color w:val="000000"/>
              </w:rPr>
              <w:t xml:space="preserve">al violence, domestic violence  </w:t>
            </w:r>
          </w:p>
          <w:p w14:paraId="5900E79A" w14:textId="77777777" w:rsidR="00C92EB7" w:rsidRPr="007B3FA9" w:rsidRDefault="00C92EB7" w:rsidP="00A40DEB">
            <w:pPr>
              <w:rPr>
                <w:color w:val="000000"/>
              </w:rPr>
            </w:pPr>
          </w:p>
          <w:p w14:paraId="12C1DB7C" w14:textId="77777777" w:rsidR="00C92EB7" w:rsidRPr="00645B2D" w:rsidRDefault="00C92EB7" w:rsidP="00A40DEB">
            <w:pPr>
              <w:rPr>
                <w:color w:val="000000"/>
              </w:rPr>
            </w:pPr>
            <w:r w:rsidRPr="00645B2D">
              <w:rPr>
                <w:b/>
                <w:bCs/>
                <w:color w:val="000000"/>
              </w:rPr>
              <w:t>Outcomes</w:t>
            </w:r>
            <w:r w:rsidRPr="00645B2D">
              <w:rPr>
                <w:color w:val="000000"/>
              </w:rPr>
              <w:t xml:space="preserve">: poor mental health, alcohol use disorder, substance use disorder, lack of </w:t>
            </w:r>
            <w:r w:rsidRPr="00645B2D">
              <w:rPr>
                <w:color w:val="000000"/>
              </w:rPr>
              <w:lastRenderedPageBreak/>
              <w:t>meeting basic needs, lack of social support</w:t>
            </w:r>
          </w:p>
        </w:tc>
      </w:tr>
      <w:tr w:rsidR="00C92EB7" w:rsidRPr="00645B2D" w14:paraId="5BF9B290" w14:textId="77777777" w:rsidTr="00A40DEB">
        <w:trPr>
          <w:trHeight w:val="4409"/>
        </w:trPr>
        <w:tc>
          <w:tcPr>
            <w:tcW w:w="1401" w:type="dxa"/>
            <w:tcBorders>
              <w:top w:val="nil"/>
              <w:left w:val="single" w:sz="4" w:space="0" w:color="auto"/>
              <w:bottom w:val="single" w:sz="4" w:space="0" w:color="auto"/>
              <w:right w:val="single" w:sz="4" w:space="0" w:color="auto"/>
            </w:tcBorders>
            <w:shd w:val="clear" w:color="auto" w:fill="auto"/>
            <w:hideMark/>
          </w:tcPr>
          <w:p w14:paraId="59F20BC1" w14:textId="7ABFDB33" w:rsidR="00C92EB7" w:rsidRPr="00645B2D" w:rsidRDefault="00C92EB7" w:rsidP="00A40DEB">
            <w:r w:rsidRPr="00645B2D">
              <w:lastRenderedPageBreak/>
              <w:t>Glover et al</w:t>
            </w:r>
            <w:r w:rsidRPr="00645B2D">
              <w:rPr>
                <w:vertAlign w:val="superscript"/>
              </w:rPr>
              <w:t>2</w:t>
            </w:r>
            <w:r w:rsidR="00387D48">
              <w:rPr>
                <w:vertAlign w:val="superscript"/>
              </w:rPr>
              <w:t>0</w:t>
            </w:r>
          </w:p>
        </w:tc>
        <w:tc>
          <w:tcPr>
            <w:tcW w:w="1515" w:type="dxa"/>
            <w:tcBorders>
              <w:top w:val="nil"/>
              <w:left w:val="nil"/>
              <w:bottom w:val="single" w:sz="4" w:space="0" w:color="auto"/>
              <w:right w:val="single" w:sz="4" w:space="0" w:color="auto"/>
            </w:tcBorders>
            <w:shd w:val="clear" w:color="auto" w:fill="auto"/>
            <w:hideMark/>
          </w:tcPr>
          <w:p w14:paraId="35B9C6D4" w14:textId="77777777" w:rsidR="00C92EB7" w:rsidRPr="00645B2D" w:rsidRDefault="00C92EB7" w:rsidP="00A40DEB">
            <w:r>
              <w:t>A</w:t>
            </w:r>
            <w:r w:rsidRPr="00645B2D">
              <w:t xml:space="preserve">ges 16-25 </w:t>
            </w:r>
          </w:p>
        </w:tc>
        <w:tc>
          <w:tcPr>
            <w:tcW w:w="1995" w:type="dxa"/>
            <w:tcBorders>
              <w:top w:val="nil"/>
              <w:left w:val="nil"/>
              <w:bottom w:val="single" w:sz="4" w:space="0" w:color="auto"/>
              <w:right w:val="single" w:sz="4" w:space="0" w:color="auto"/>
            </w:tcBorders>
            <w:shd w:val="clear" w:color="auto" w:fill="auto"/>
            <w:hideMark/>
          </w:tcPr>
          <w:p w14:paraId="330D7315" w14:textId="77777777" w:rsidR="00C92EB7" w:rsidRPr="00645B2D" w:rsidRDefault="00C92EB7" w:rsidP="00A40DEB">
            <w:r>
              <w:t>C</w:t>
            </w:r>
            <w:r w:rsidRPr="00645B2D">
              <w:t>ity/</w:t>
            </w:r>
            <w:r>
              <w:t>M</w:t>
            </w:r>
            <w:r w:rsidRPr="00645B2D">
              <w:t>etropolitan (Chicago, IL)</w:t>
            </w:r>
          </w:p>
        </w:tc>
        <w:tc>
          <w:tcPr>
            <w:tcW w:w="1620" w:type="dxa"/>
            <w:tcBorders>
              <w:top w:val="nil"/>
              <w:left w:val="nil"/>
              <w:bottom w:val="single" w:sz="4" w:space="0" w:color="auto"/>
              <w:right w:val="single" w:sz="4" w:space="0" w:color="auto"/>
            </w:tcBorders>
            <w:shd w:val="clear" w:color="auto" w:fill="auto"/>
            <w:hideMark/>
          </w:tcPr>
          <w:p w14:paraId="2604ABB8" w14:textId="77777777" w:rsidR="00C92EB7" w:rsidRPr="00645B2D" w:rsidRDefault="00C92EB7" w:rsidP="00A40DEB">
            <w:r>
              <w:t>E</w:t>
            </w:r>
            <w:r w:rsidRPr="00645B2D">
              <w:t>xperimental</w:t>
            </w:r>
          </w:p>
        </w:tc>
        <w:tc>
          <w:tcPr>
            <w:tcW w:w="2070" w:type="dxa"/>
            <w:tcBorders>
              <w:top w:val="nil"/>
              <w:left w:val="nil"/>
              <w:bottom w:val="single" w:sz="4" w:space="0" w:color="auto"/>
              <w:right w:val="single" w:sz="4" w:space="0" w:color="auto"/>
            </w:tcBorders>
            <w:shd w:val="clear" w:color="auto" w:fill="auto"/>
            <w:hideMark/>
          </w:tcPr>
          <w:p w14:paraId="1C3C8970" w14:textId="77777777" w:rsidR="00C92EB7" w:rsidRPr="00645B2D" w:rsidRDefault="00C92EB7" w:rsidP="00A40DEB">
            <w:r>
              <w:t>E</w:t>
            </w:r>
            <w:r w:rsidRPr="00645B2D">
              <w:t>xamine</w:t>
            </w:r>
            <w:r>
              <w:t xml:space="preserve"> the </w:t>
            </w:r>
            <w:r w:rsidRPr="00645B2D">
              <w:t>effectiveness of smartphone mental health resources on YEH</w:t>
            </w:r>
            <w:r>
              <w:t>.</w:t>
            </w:r>
          </w:p>
        </w:tc>
        <w:tc>
          <w:tcPr>
            <w:tcW w:w="2700" w:type="dxa"/>
            <w:tcBorders>
              <w:top w:val="nil"/>
              <w:left w:val="nil"/>
              <w:bottom w:val="single" w:sz="4" w:space="0" w:color="auto"/>
              <w:right w:val="single" w:sz="4" w:space="0" w:color="auto"/>
            </w:tcBorders>
            <w:shd w:val="clear" w:color="auto" w:fill="auto"/>
            <w:hideMark/>
          </w:tcPr>
          <w:p w14:paraId="59714E20" w14:textId="77777777" w:rsidR="00C92EB7" w:rsidRPr="00645B2D" w:rsidRDefault="00C92EB7" w:rsidP="00A40DEB">
            <w:r w:rsidRPr="00645B2D">
              <w:t xml:space="preserve">Overall, 63% (30/48) to 68% (13/19) of respondents at both </w:t>
            </w:r>
            <w:proofErr w:type="gramStart"/>
            <w:r w:rsidRPr="00645B2D">
              <w:t>time points</w:t>
            </w:r>
            <w:proofErr w:type="gramEnd"/>
            <w:r w:rsidRPr="00645B2D">
              <w:t xml:space="preserve"> reported benefiting from the interventio</w:t>
            </w:r>
            <w:r>
              <w:t>n.  P</w:t>
            </w:r>
            <w:r w:rsidRPr="00645B2D">
              <w:t>articipants reported receiving the most benefit from the daily tips and daily surveys</w:t>
            </w:r>
            <w:r>
              <w:t xml:space="preserve">, especially ones focused on </w:t>
            </w:r>
            <w:r w:rsidRPr="00645B2D">
              <w:t xml:space="preserve">motivational tips related to overcoming struggles and making progress in life.  </w:t>
            </w:r>
          </w:p>
        </w:tc>
        <w:tc>
          <w:tcPr>
            <w:tcW w:w="1834" w:type="dxa"/>
            <w:tcBorders>
              <w:top w:val="nil"/>
              <w:left w:val="nil"/>
              <w:bottom w:val="single" w:sz="4" w:space="0" w:color="auto"/>
              <w:right w:val="single" w:sz="4" w:space="0" w:color="auto"/>
            </w:tcBorders>
            <w:shd w:val="clear" w:color="auto" w:fill="auto"/>
            <w:hideMark/>
          </w:tcPr>
          <w:p w14:paraId="6ACF038E" w14:textId="77777777" w:rsidR="00C92EB7" w:rsidRDefault="00C92EB7" w:rsidP="00A40DEB">
            <w:pPr>
              <w:rPr>
                <w:color w:val="000000"/>
              </w:rPr>
            </w:pPr>
            <w:r w:rsidRPr="00645B2D">
              <w:rPr>
                <w:b/>
                <w:bCs/>
                <w:color w:val="000000"/>
              </w:rPr>
              <w:t>Risk Factors</w:t>
            </w:r>
            <w:r w:rsidRPr="00645B2D">
              <w:rPr>
                <w:color w:val="000000"/>
              </w:rPr>
              <w:t xml:space="preserve">: emotional abuse, sexual abuse/violence, physical abuse/violence, poor mental health </w:t>
            </w:r>
          </w:p>
          <w:p w14:paraId="22C847F0" w14:textId="77777777" w:rsidR="00C92EB7" w:rsidRDefault="00C92EB7" w:rsidP="00A40DEB">
            <w:pPr>
              <w:rPr>
                <w:color w:val="000000"/>
              </w:rPr>
            </w:pPr>
            <w:r w:rsidRPr="00645B2D">
              <w:rPr>
                <w:b/>
                <w:bCs/>
                <w:color w:val="000000"/>
              </w:rPr>
              <w:t>Outcomes</w:t>
            </w:r>
            <w:r w:rsidRPr="00645B2D">
              <w:rPr>
                <w:color w:val="000000"/>
              </w:rPr>
              <w:t>: poor mental health</w:t>
            </w:r>
          </w:p>
          <w:p w14:paraId="787C84A5" w14:textId="77777777" w:rsidR="00C92EB7" w:rsidRPr="00645B2D" w:rsidRDefault="00C92EB7" w:rsidP="00A40DEB">
            <w:pPr>
              <w:rPr>
                <w:color w:val="000000"/>
              </w:rPr>
            </w:pPr>
            <w:r w:rsidRPr="00FB5D32">
              <w:rPr>
                <w:b/>
                <w:bCs/>
                <w:color w:val="000000"/>
              </w:rPr>
              <w:t>Intervention</w:t>
            </w:r>
            <w:r>
              <w:rPr>
                <w:color w:val="000000"/>
              </w:rPr>
              <w:t xml:space="preserve">: </w:t>
            </w:r>
            <w:proofErr w:type="gramStart"/>
            <w:r>
              <w:rPr>
                <w:color w:val="000000"/>
              </w:rPr>
              <w:t>technology based</w:t>
            </w:r>
            <w:proofErr w:type="gramEnd"/>
            <w:r>
              <w:rPr>
                <w:color w:val="000000"/>
              </w:rPr>
              <w:t xml:space="preserve"> resources for decreasing mental health </w:t>
            </w:r>
            <w:r w:rsidRPr="00645B2D">
              <w:rPr>
                <w:color w:val="000000"/>
              </w:rPr>
              <w:t xml:space="preserve"> </w:t>
            </w:r>
          </w:p>
        </w:tc>
      </w:tr>
      <w:tr w:rsidR="00C92EB7" w:rsidRPr="00645B2D" w14:paraId="3106A8FB" w14:textId="77777777" w:rsidTr="00A40DEB">
        <w:trPr>
          <w:trHeight w:val="2844"/>
        </w:trPr>
        <w:tc>
          <w:tcPr>
            <w:tcW w:w="1401" w:type="dxa"/>
            <w:tcBorders>
              <w:top w:val="nil"/>
              <w:left w:val="single" w:sz="4" w:space="0" w:color="auto"/>
              <w:bottom w:val="single" w:sz="4" w:space="0" w:color="auto"/>
              <w:right w:val="single" w:sz="4" w:space="0" w:color="auto"/>
            </w:tcBorders>
            <w:shd w:val="clear" w:color="auto" w:fill="auto"/>
            <w:hideMark/>
          </w:tcPr>
          <w:p w14:paraId="15442BA3" w14:textId="6D329497" w:rsidR="00C92EB7" w:rsidRPr="00645B2D" w:rsidRDefault="00C92EB7" w:rsidP="00A40DEB">
            <w:r w:rsidRPr="00645B2D">
              <w:lastRenderedPageBreak/>
              <w:t>Hatem et al</w:t>
            </w:r>
            <w:r w:rsidRPr="00645B2D">
              <w:rPr>
                <w:vertAlign w:val="superscript"/>
              </w:rPr>
              <w:t>2</w:t>
            </w:r>
            <w:r w:rsidR="00387D48">
              <w:rPr>
                <w:vertAlign w:val="superscript"/>
              </w:rPr>
              <w:t>1</w:t>
            </w:r>
            <w:r w:rsidRPr="00645B2D">
              <w:rPr>
                <w:vertAlign w:val="superscript"/>
              </w:rPr>
              <w:t xml:space="preserve"> </w:t>
            </w:r>
          </w:p>
        </w:tc>
        <w:tc>
          <w:tcPr>
            <w:tcW w:w="1515" w:type="dxa"/>
            <w:tcBorders>
              <w:top w:val="nil"/>
              <w:left w:val="nil"/>
              <w:bottom w:val="single" w:sz="4" w:space="0" w:color="auto"/>
              <w:right w:val="single" w:sz="4" w:space="0" w:color="auto"/>
            </w:tcBorders>
            <w:shd w:val="clear" w:color="auto" w:fill="auto"/>
            <w:hideMark/>
          </w:tcPr>
          <w:p w14:paraId="734AC036" w14:textId="77777777" w:rsidR="00C92EB7" w:rsidRPr="00645B2D" w:rsidRDefault="00C92EB7" w:rsidP="00A40DEB">
            <w:r w:rsidRPr="00645B2D">
              <w:t xml:space="preserve">Longitudinal data measured at ages 5, 9,15 </w:t>
            </w:r>
          </w:p>
        </w:tc>
        <w:tc>
          <w:tcPr>
            <w:tcW w:w="1995" w:type="dxa"/>
            <w:tcBorders>
              <w:top w:val="nil"/>
              <w:left w:val="nil"/>
              <w:bottom w:val="single" w:sz="4" w:space="0" w:color="auto"/>
              <w:right w:val="single" w:sz="4" w:space="0" w:color="auto"/>
            </w:tcBorders>
            <w:shd w:val="clear" w:color="auto" w:fill="auto"/>
            <w:hideMark/>
          </w:tcPr>
          <w:p w14:paraId="15BCDA12" w14:textId="77777777" w:rsidR="00C92EB7" w:rsidRPr="00645B2D" w:rsidRDefault="00C92EB7" w:rsidP="00A40DEB">
            <w:r w:rsidRPr="00645B2D">
              <w:t>National (US)</w:t>
            </w:r>
          </w:p>
        </w:tc>
        <w:tc>
          <w:tcPr>
            <w:tcW w:w="1620" w:type="dxa"/>
            <w:tcBorders>
              <w:top w:val="nil"/>
              <w:left w:val="nil"/>
              <w:bottom w:val="single" w:sz="4" w:space="0" w:color="auto"/>
              <w:right w:val="single" w:sz="4" w:space="0" w:color="auto"/>
            </w:tcBorders>
            <w:shd w:val="clear" w:color="auto" w:fill="auto"/>
            <w:hideMark/>
          </w:tcPr>
          <w:p w14:paraId="0906A129" w14:textId="77777777" w:rsidR="00C92EB7" w:rsidRPr="00645B2D" w:rsidRDefault="00C92EB7" w:rsidP="00A40DEB">
            <w:r>
              <w:t>L</w:t>
            </w:r>
            <w:r w:rsidRPr="00645B2D">
              <w:t>ongitudinal</w:t>
            </w:r>
          </w:p>
        </w:tc>
        <w:tc>
          <w:tcPr>
            <w:tcW w:w="2070" w:type="dxa"/>
            <w:tcBorders>
              <w:top w:val="nil"/>
              <w:left w:val="nil"/>
              <w:bottom w:val="single" w:sz="4" w:space="0" w:color="auto"/>
              <w:right w:val="single" w:sz="4" w:space="0" w:color="auto"/>
            </w:tcBorders>
            <w:shd w:val="clear" w:color="auto" w:fill="auto"/>
            <w:hideMark/>
          </w:tcPr>
          <w:p w14:paraId="5E615358" w14:textId="77777777" w:rsidR="00C92EB7" w:rsidRPr="00645B2D" w:rsidRDefault="00C92EB7" w:rsidP="00A40DEB">
            <w:proofErr w:type="gramStart"/>
            <w:r w:rsidRPr="00645B2D">
              <w:t>Examines</w:t>
            </w:r>
            <w:proofErr w:type="gramEnd"/>
            <w:r w:rsidRPr="00645B2D">
              <w:t xml:space="preserve"> </w:t>
            </w:r>
            <w:r>
              <w:t xml:space="preserve">the relationship between </w:t>
            </w:r>
            <w:r w:rsidRPr="00645B2D">
              <w:t>food insecurity and housing instability during early childhood as predictors of adolescent mental health</w:t>
            </w:r>
            <w:r>
              <w:t>.</w:t>
            </w:r>
          </w:p>
        </w:tc>
        <w:tc>
          <w:tcPr>
            <w:tcW w:w="2700" w:type="dxa"/>
            <w:tcBorders>
              <w:top w:val="nil"/>
              <w:left w:val="nil"/>
              <w:bottom w:val="single" w:sz="4" w:space="0" w:color="auto"/>
              <w:right w:val="single" w:sz="4" w:space="0" w:color="auto"/>
            </w:tcBorders>
            <w:shd w:val="clear" w:color="auto" w:fill="auto"/>
            <w:hideMark/>
          </w:tcPr>
          <w:p w14:paraId="56C752AD" w14:textId="77777777" w:rsidR="00C92EB7" w:rsidRPr="00645B2D" w:rsidRDefault="00C92EB7" w:rsidP="00A40DEB">
            <w:r w:rsidRPr="00645B2D">
              <w:t>Housing instability during early childhood increases the risk of long-term adolescent depressive (</w:t>
            </w:r>
            <w:r w:rsidRPr="00645B2D">
              <w:rPr>
                <w:i/>
                <w:iCs/>
              </w:rPr>
              <w:t>B</w:t>
            </w:r>
            <w:r w:rsidRPr="00645B2D">
              <w:t xml:space="preserve"> = .273, 95% CI [0.132, 0.422]). </w:t>
            </w:r>
          </w:p>
        </w:tc>
        <w:tc>
          <w:tcPr>
            <w:tcW w:w="1834" w:type="dxa"/>
            <w:tcBorders>
              <w:top w:val="nil"/>
              <w:left w:val="nil"/>
              <w:bottom w:val="single" w:sz="4" w:space="0" w:color="auto"/>
              <w:right w:val="single" w:sz="4" w:space="0" w:color="auto"/>
            </w:tcBorders>
            <w:shd w:val="clear" w:color="auto" w:fill="auto"/>
            <w:hideMark/>
          </w:tcPr>
          <w:p w14:paraId="37BB8C6B" w14:textId="77777777" w:rsidR="00C92EB7" w:rsidRPr="00645B2D" w:rsidRDefault="00C92EB7" w:rsidP="00A40DEB">
            <w:pPr>
              <w:rPr>
                <w:color w:val="000000"/>
              </w:rPr>
            </w:pPr>
            <w:r w:rsidRPr="0048088F">
              <w:rPr>
                <w:b/>
                <w:bCs/>
                <w:color w:val="000000"/>
              </w:rPr>
              <w:t>Outcomes</w:t>
            </w:r>
            <w:r w:rsidRPr="00645B2D">
              <w:rPr>
                <w:color w:val="000000"/>
              </w:rPr>
              <w:t>:</w:t>
            </w:r>
            <w:r>
              <w:rPr>
                <w:color w:val="000000"/>
              </w:rPr>
              <w:t xml:space="preserve"> </w:t>
            </w:r>
            <w:r w:rsidRPr="00645B2D">
              <w:rPr>
                <w:color w:val="000000"/>
              </w:rPr>
              <w:t>poor mental health</w:t>
            </w:r>
          </w:p>
        </w:tc>
      </w:tr>
      <w:tr w:rsidR="00C92EB7" w:rsidRPr="00645B2D" w14:paraId="4D565193" w14:textId="77777777" w:rsidTr="00A40DEB">
        <w:trPr>
          <w:trHeight w:val="7002"/>
        </w:trPr>
        <w:tc>
          <w:tcPr>
            <w:tcW w:w="1401" w:type="dxa"/>
            <w:tcBorders>
              <w:top w:val="nil"/>
              <w:left w:val="single" w:sz="4" w:space="0" w:color="auto"/>
              <w:bottom w:val="single" w:sz="4" w:space="0" w:color="auto"/>
              <w:right w:val="single" w:sz="4" w:space="0" w:color="auto"/>
            </w:tcBorders>
            <w:shd w:val="clear" w:color="auto" w:fill="auto"/>
            <w:hideMark/>
          </w:tcPr>
          <w:p w14:paraId="678D834B" w14:textId="46016732" w:rsidR="00C92EB7" w:rsidRPr="00645B2D" w:rsidRDefault="00C92EB7" w:rsidP="00A40DEB">
            <w:r w:rsidRPr="00645B2D">
              <w:lastRenderedPageBreak/>
              <w:t>Henriques et al</w:t>
            </w:r>
            <w:r w:rsidR="00387D48">
              <w:rPr>
                <w:vertAlign w:val="superscript"/>
              </w:rPr>
              <w:t>22</w:t>
            </w:r>
          </w:p>
        </w:tc>
        <w:tc>
          <w:tcPr>
            <w:tcW w:w="1515" w:type="dxa"/>
            <w:tcBorders>
              <w:top w:val="nil"/>
              <w:left w:val="nil"/>
              <w:bottom w:val="single" w:sz="4" w:space="0" w:color="auto"/>
              <w:right w:val="single" w:sz="4" w:space="0" w:color="auto"/>
            </w:tcBorders>
            <w:shd w:val="clear" w:color="auto" w:fill="auto"/>
            <w:hideMark/>
          </w:tcPr>
          <w:p w14:paraId="3AF2B37B" w14:textId="77777777" w:rsidR="00C92EB7" w:rsidRPr="00645B2D" w:rsidRDefault="00C92EB7" w:rsidP="00A40DEB">
            <w:r>
              <w:t>A</w:t>
            </w:r>
            <w:r w:rsidRPr="00645B2D">
              <w:t>ges 18–21</w:t>
            </w:r>
          </w:p>
        </w:tc>
        <w:tc>
          <w:tcPr>
            <w:tcW w:w="1995" w:type="dxa"/>
            <w:tcBorders>
              <w:top w:val="nil"/>
              <w:left w:val="nil"/>
              <w:bottom w:val="single" w:sz="4" w:space="0" w:color="auto"/>
              <w:right w:val="single" w:sz="4" w:space="0" w:color="auto"/>
            </w:tcBorders>
            <w:shd w:val="clear" w:color="auto" w:fill="auto"/>
            <w:hideMark/>
          </w:tcPr>
          <w:p w14:paraId="0BDC4A5B" w14:textId="77777777" w:rsidR="00C92EB7" w:rsidRPr="00645B2D" w:rsidRDefault="00C92EB7" w:rsidP="00A40DEB">
            <w:r>
              <w:t>C</w:t>
            </w:r>
            <w:r w:rsidRPr="00645B2D">
              <w:t>ity/</w:t>
            </w:r>
            <w:r>
              <w:t>M</w:t>
            </w:r>
            <w:r w:rsidRPr="00645B2D">
              <w:t>etropolitan (Denver,</w:t>
            </w:r>
            <w:r>
              <w:t xml:space="preserve"> </w:t>
            </w:r>
            <w:r w:rsidRPr="00645B2D">
              <w:t>CO)</w:t>
            </w:r>
          </w:p>
        </w:tc>
        <w:tc>
          <w:tcPr>
            <w:tcW w:w="1620" w:type="dxa"/>
            <w:tcBorders>
              <w:top w:val="nil"/>
              <w:left w:val="nil"/>
              <w:bottom w:val="single" w:sz="4" w:space="0" w:color="auto"/>
              <w:right w:val="single" w:sz="4" w:space="0" w:color="auto"/>
            </w:tcBorders>
            <w:shd w:val="clear" w:color="auto" w:fill="auto"/>
            <w:hideMark/>
          </w:tcPr>
          <w:p w14:paraId="1D1D4247" w14:textId="77777777" w:rsidR="00C92EB7" w:rsidRPr="00645B2D" w:rsidRDefault="00C92EB7" w:rsidP="00A40DEB">
            <w:r>
              <w:t>C</w:t>
            </w:r>
            <w:r w:rsidRPr="00645B2D">
              <w:t>ross</w:t>
            </w:r>
            <w:r>
              <w:t>-</w:t>
            </w:r>
            <w:r w:rsidRPr="00645B2D">
              <w:t xml:space="preserve"> sectional</w:t>
            </w:r>
          </w:p>
        </w:tc>
        <w:tc>
          <w:tcPr>
            <w:tcW w:w="2070" w:type="dxa"/>
            <w:tcBorders>
              <w:top w:val="nil"/>
              <w:left w:val="nil"/>
              <w:bottom w:val="single" w:sz="4" w:space="0" w:color="auto"/>
              <w:right w:val="single" w:sz="4" w:space="0" w:color="auto"/>
            </w:tcBorders>
            <w:shd w:val="clear" w:color="auto" w:fill="auto"/>
            <w:hideMark/>
          </w:tcPr>
          <w:p w14:paraId="068460A2" w14:textId="77777777" w:rsidR="00C92EB7" w:rsidRPr="00645B2D" w:rsidRDefault="00C92EB7" w:rsidP="00A40DEB">
            <w:r w:rsidRPr="00645B2D">
              <w:t xml:space="preserve">Study sought analysis on 3 questions: </w:t>
            </w:r>
            <w:r>
              <w:t>h</w:t>
            </w:r>
            <w:r w:rsidRPr="00645B2D">
              <w:t>ow do YEH experience and make</w:t>
            </w:r>
            <w:r w:rsidRPr="00645B2D">
              <w:br w:type="page"/>
            </w:r>
            <w:r>
              <w:t xml:space="preserve"> </w:t>
            </w:r>
            <w:r w:rsidRPr="00645B2D">
              <w:t>meaning of individual and structural stigma in their daily</w:t>
            </w:r>
            <w:r>
              <w:t xml:space="preserve"> </w:t>
            </w:r>
            <w:r w:rsidRPr="00645B2D">
              <w:br w:type="page"/>
              <w:t>lives</w:t>
            </w:r>
            <w:r>
              <w:t>, h</w:t>
            </w:r>
            <w:r w:rsidRPr="00645B2D">
              <w:t>ow do experiences of stigma influence their</w:t>
            </w:r>
            <w:r>
              <w:t xml:space="preserve"> </w:t>
            </w:r>
            <w:r w:rsidRPr="00645B2D">
              <w:br w:type="page"/>
              <w:t>perspectives regarding pregnancy, family planning and</w:t>
            </w:r>
            <w:r w:rsidRPr="00645B2D">
              <w:br w:type="page"/>
            </w:r>
            <w:r>
              <w:t xml:space="preserve"> </w:t>
            </w:r>
            <w:r w:rsidRPr="00645B2D">
              <w:t>sexual and reproductive health</w:t>
            </w:r>
            <w:r>
              <w:t>, and h</w:t>
            </w:r>
            <w:r w:rsidRPr="00645B2D">
              <w:t>ow do youth respond</w:t>
            </w:r>
            <w:r w:rsidRPr="00645B2D">
              <w:br w:type="page"/>
            </w:r>
            <w:r>
              <w:t xml:space="preserve"> </w:t>
            </w:r>
            <w:r w:rsidRPr="00645B2D">
              <w:t>to, internalize and/or resist such stigma?</w:t>
            </w:r>
          </w:p>
        </w:tc>
        <w:tc>
          <w:tcPr>
            <w:tcW w:w="2700" w:type="dxa"/>
            <w:tcBorders>
              <w:top w:val="nil"/>
              <w:left w:val="nil"/>
              <w:bottom w:val="single" w:sz="4" w:space="0" w:color="auto"/>
              <w:right w:val="single" w:sz="4" w:space="0" w:color="auto"/>
            </w:tcBorders>
            <w:shd w:val="clear" w:color="auto" w:fill="auto"/>
            <w:hideMark/>
          </w:tcPr>
          <w:p w14:paraId="1F7BDB3B" w14:textId="77777777" w:rsidR="00C92EB7" w:rsidRDefault="00C92EB7" w:rsidP="00A40DEB">
            <w:r w:rsidRPr="00645B2D">
              <w:t>Sources of stigma, described as judgment or negative perceptions about homelessness, existed both within and outside of YEH communities.  Pregnancy was generally seen as a threat to future goals that would lead them to embody the negative stereotypes they seek to avoid</w:t>
            </w:r>
            <w:r>
              <w:t>, h</w:t>
            </w:r>
            <w:r w:rsidRPr="00645B2D">
              <w:t xml:space="preserve">owever several participants </w:t>
            </w:r>
            <w:r>
              <w:t xml:space="preserve">stated that </w:t>
            </w:r>
            <w:r w:rsidRPr="00645B2D">
              <w:t>becoming a parent may replac</w:t>
            </w:r>
            <w:r>
              <w:t>e</w:t>
            </w:r>
            <w:r w:rsidRPr="00645B2D">
              <w:t xml:space="preserve"> the </w:t>
            </w:r>
            <w:r>
              <w:t xml:space="preserve">negative </w:t>
            </w:r>
            <w:r w:rsidRPr="00645B2D">
              <w:t xml:space="preserve">stigma with a new </w:t>
            </w:r>
            <w:r>
              <w:t xml:space="preserve">positive </w:t>
            </w:r>
            <w:r w:rsidRPr="00645B2D">
              <w:t>identity of parent</w:t>
            </w:r>
            <w:r>
              <w:t xml:space="preserve">.  </w:t>
            </w:r>
            <w:r w:rsidRPr="00645B2D">
              <w:t xml:space="preserve">Awareness of broader social, economic, and political forces contributed to the stigma of YEH, provided some resistance to internalization. </w:t>
            </w:r>
          </w:p>
          <w:p w14:paraId="6D9618A2" w14:textId="77777777" w:rsidR="00C92EB7" w:rsidRPr="00645B2D" w:rsidRDefault="00C92EB7" w:rsidP="00A40DEB"/>
        </w:tc>
        <w:tc>
          <w:tcPr>
            <w:tcW w:w="1834" w:type="dxa"/>
            <w:tcBorders>
              <w:top w:val="nil"/>
              <w:left w:val="nil"/>
              <w:bottom w:val="single" w:sz="4" w:space="0" w:color="auto"/>
              <w:right w:val="single" w:sz="4" w:space="0" w:color="auto"/>
            </w:tcBorders>
            <w:shd w:val="clear" w:color="auto" w:fill="auto"/>
            <w:hideMark/>
          </w:tcPr>
          <w:p w14:paraId="323BF384" w14:textId="77777777" w:rsidR="00C92EB7" w:rsidRDefault="00C92EB7" w:rsidP="00A40DEB">
            <w:pPr>
              <w:rPr>
                <w:color w:val="000000"/>
              </w:rPr>
            </w:pPr>
            <w:r w:rsidRPr="0048088F">
              <w:rPr>
                <w:b/>
                <w:bCs/>
                <w:color w:val="000000"/>
              </w:rPr>
              <w:t>Risk</w:t>
            </w:r>
            <w:r>
              <w:rPr>
                <w:b/>
                <w:bCs/>
                <w:color w:val="000000"/>
              </w:rPr>
              <w:t xml:space="preserve"> Factors</w:t>
            </w:r>
            <w:r w:rsidRPr="00645B2D">
              <w:rPr>
                <w:color w:val="000000"/>
              </w:rPr>
              <w:t>: LGBTQ+, ethnic/racial minority</w:t>
            </w:r>
            <w:r>
              <w:rPr>
                <w:color w:val="000000"/>
              </w:rPr>
              <w:t>, pregnancy</w:t>
            </w:r>
            <w:r w:rsidRPr="00645B2D">
              <w:rPr>
                <w:color w:val="000000"/>
              </w:rPr>
              <w:t xml:space="preserve"> </w:t>
            </w:r>
          </w:p>
          <w:p w14:paraId="40F9E1C0" w14:textId="77777777" w:rsidR="00C92EB7" w:rsidRPr="00645B2D" w:rsidRDefault="00C92EB7" w:rsidP="00A40DEB">
            <w:pPr>
              <w:rPr>
                <w:color w:val="000000"/>
              </w:rPr>
            </w:pPr>
            <w:r w:rsidRPr="0048088F">
              <w:rPr>
                <w:b/>
                <w:bCs/>
                <w:color w:val="000000"/>
              </w:rPr>
              <w:t>Outcomes</w:t>
            </w:r>
            <w:r w:rsidRPr="00645B2D">
              <w:rPr>
                <w:color w:val="000000"/>
              </w:rPr>
              <w:t>: lack of social support, negative stigma, poor mental health</w:t>
            </w:r>
          </w:p>
        </w:tc>
      </w:tr>
      <w:tr w:rsidR="00C92EB7" w:rsidRPr="00645B2D" w14:paraId="2BC9C886" w14:textId="77777777" w:rsidTr="00A40DEB">
        <w:trPr>
          <w:trHeight w:val="4660"/>
        </w:trPr>
        <w:tc>
          <w:tcPr>
            <w:tcW w:w="1401" w:type="dxa"/>
            <w:tcBorders>
              <w:top w:val="nil"/>
              <w:left w:val="single" w:sz="4" w:space="0" w:color="auto"/>
              <w:bottom w:val="single" w:sz="4" w:space="0" w:color="auto"/>
              <w:right w:val="single" w:sz="4" w:space="0" w:color="auto"/>
            </w:tcBorders>
            <w:shd w:val="clear" w:color="auto" w:fill="auto"/>
            <w:hideMark/>
          </w:tcPr>
          <w:p w14:paraId="0384518B" w14:textId="1BD220DB" w:rsidR="00C92EB7" w:rsidRPr="00645B2D" w:rsidRDefault="00C92EB7" w:rsidP="00A40DEB">
            <w:r w:rsidRPr="00645B2D">
              <w:lastRenderedPageBreak/>
              <w:t>Iwundu et al</w:t>
            </w:r>
            <w:r w:rsidRPr="00645B2D">
              <w:rPr>
                <w:vertAlign w:val="superscript"/>
              </w:rPr>
              <w:t>2</w:t>
            </w:r>
            <w:r w:rsidR="00387D48">
              <w:rPr>
                <w:vertAlign w:val="superscript"/>
              </w:rPr>
              <w:t>3</w:t>
            </w:r>
            <w:r w:rsidRPr="00645B2D">
              <w:rPr>
                <w:vertAlign w:val="superscript"/>
              </w:rPr>
              <w:t xml:space="preserve"> </w:t>
            </w:r>
          </w:p>
        </w:tc>
        <w:tc>
          <w:tcPr>
            <w:tcW w:w="1515" w:type="dxa"/>
            <w:tcBorders>
              <w:top w:val="nil"/>
              <w:left w:val="nil"/>
              <w:bottom w:val="single" w:sz="4" w:space="0" w:color="auto"/>
              <w:right w:val="single" w:sz="4" w:space="0" w:color="auto"/>
            </w:tcBorders>
            <w:shd w:val="clear" w:color="auto" w:fill="auto"/>
            <w:hideMark/>
          </w:tcPr>
          <w:p w14:paraId="0638EC82" w14:textId="77777777" w:rsidR="00C92EB7" w:rsidRPr="00645B2D" w:rsidRDefault="00C92EB7" w:rsidP="00A40DEB">
            <w:r w:rsidRPr="00645B2D">
              <w:t>n/a</w:t>
            </w:r>
          </w:p>
        </w:tc>
        <w:tc>
          <w:tcPr>
            <w:tcW w:w="1995" w:type="dxa"/>
            <w:tcBorders>
              <w:top w:val="nil"/>
              <w:left w:val="nil"/>
              <w:bottom w:val="single" w:sz="4" w:space="0" w:color="auto"/>
              <w:right w:val="single" w:sz="4" w:space="0" w:color="auto"/>
            </w:tcBorders>
            <w:shd w:val="clear" w:color="auto" w:fill="auto"/>
            <w:hideMark/>
          </w:tcPr>
          <w:p w14:paraId="50D5F4BE" w14:textId="77777777" w:rsidR="00C92EB7" w:rsidRPr="00645B2D" w:rsidRDefault="00C92EB7" w:rsidP="00A40DEB">
            <w:r>
              <w:t>M</w:t>
            </w:r>
            <w:r w:rsidRPr="00645B2D">
              <w:t xml:space="preserve">ulti </w:t>
            </w:r>
            <w:r>
              <w:t>L</w:t>
            </w:r>
            <w:r w:rsidRPr="00645B2D">
              <w:t>ocation</w:t>
            </w:r>
            <w:r>
              <w:t>s, Within US</w:t>
            </w:r>
            <w:r w:rsidRPr="00645B2D">
              <w:t xml:space="preserve"> (Dallas, TX; Oklahoma City, OK)</w:t>
            </w:r>
          </w:p>
        </w:tc>
        <w:tc>
          <w:tcPr>
            <w:tcW w:w="1620" w:type="dxa"/>
            <w:tcBorders>
              <w:top w:val="nil"/>
              <w:left w:val="nil"/>
              <w:bottom w:val="single" w:sz="4" w:space="0" w:color="auto"/>
              <w:right w:val="single" w:sz="4" w:space="0" w:color="auto"/>
            </w:tcBorders>
            <w:shd w:val="clear" w:color="auto" w:fill="auto"/>
            <w:hideMark/>
          </w:tcPr>
          <w:p w14:paraId="3B1AFBBC" w14:textId="77777777" w:rsidR="00C92EB7" w:rsidRPr="00645B2D" w:rsidRDefault="00C92EB7" w:rsidP="00A40DEB">
            <w:r w:rsidRPr="00645B2D">
              <w:t>Retro</w:t>
            </w:r>
            <w:r>
              <w:t>sp</w:t>
            </w:r>
            <w:r w:rsidRPr="00645B2D">
              <w:t>ective</w:t>
            </w:r>
          </w:p>
        </w:tc>
        <w:tc>
          <w:tcPr>
            <w:tcW w:w="2070" w:type="dxa"/>
            <w:tcBorders>
              <w:top w:val="nil"/>
              <w:left w:val="nil"/>
              <w:bottom w:val="single" w:sz="4" w:space="0" w:color="auto"/>
              <w:right w:val="single" w:sz="4" w:space="0" w:color="auto"/>
            </w:tcBorders>
            <w:shd w:val="clear" w:color="auto" w:fill="auto"/>
            <w:hideMark/>
          </w:tcPr>
          <w:p w14:paraId="1538258E" w14:textId="77777777" w:rsidR="00C92EB7" w:rsidRPr="00645B2D" w:rsidRDefault="00C92EB7" w:rsidP="00A40DEB">
            <w:r w:rsidRPr="00645B2D">
              <w:t xml:space="preserve">Evaluate association between the timing of homelessness onset (youth versus adult) and mental illness as a reason for homelessness among homeless adults living in homeless shelters and/or receiving services from homeless-serving agencies. </w:t>
            </w:r>
          </w:p>
        </w:tc>
        <w:tc>
          <w:tcPr>
            <w:tcW w:w="2700" w:type="dxa"/>
            <w:tcBorders>
              <w:top w:val="nil"/>
              <w:left w:val="nil"/>
              <w:bottom w:val="single" w:sz="4" w:space="0" w:color="auto"/>
              <w:right w:val="single" w:sz="4" w:space="0" w:color="auto"/>
            </w:tcBorders>
            <w:shd w:val="clear" w:color="auto" w:fill="auto"/>
            <w:hideMark/>
          </w:tcPr>
          <w:p w14:paraId="26056C4A" w14:textId="77777777" w:rsidR="00C92EB7" w:rsidRPr="00645B2D" w:rsidRDefault="00C92EB7" w:rsidP="00A40DEB">
            <w:r w:rsidRPr="00645B2D">
              <w:t>Overall, 29.5% of the sample reported youth-onset homelessness and 24.4% reported mental illness as the reason for current homelessness. Results indicated that mental illness as a reason for current homelessness</w:t>
            </w:r>
            <w:r>
              <w:t xml:space="preserve">.  A </w:t>
            </w:r>
            <w:r w:rsidRPr="00645B2D">
              <w:t xml:space="preserve">history of severe mental illness and severe mental illness comorbidities were each associated with increased odds of youth-onset homelessness. </w:t>
            </w:r>
          </w:p>
        </w:tc>
        <w:tc>
          <w:tcPr>
            <w:tcW w:w="1834" w:type="dxa"/>
            <w:tcBorders>
              <w:top w:val="nil"/>
              <w:left w:val="nil"/>
              <w:bottom w:val="single" w:sz="4" w:space="0" w:color="auto"/>
              <w:right w:val="single" w:sz="4" w:space="0" w:color="auto"/>
            </w:tcBorders>
            <w:shd w:val="clear" w:color="auto" w:fill="auto"/>
            <w:hideMark/>
          </w:tcPr>
          <w:p w14:paraId="39181319" w14:textId="77777777" w:rsidR="00C92EB7" w:rsidRDefault="00C92EB7" w:rsidP="00A40DEB">
            <w:pPr>
              <w:rPr>
                <w:color w:val="000000"/>
              </w:rPr>
            </w:pPr>
            <w:r w:rsidRPr="007B3FA9">
              <w:rPr>
                <w:b/>
                <w:bCs/>
                <w:color w:val="000000"/>
              </w:rPr>
              <w:t>Risk Factors</w:t>
            </w:r>
            <w:r w:rsidRPr="00645B2D">
              <w:rPr>
                <w:color w:val="000000"/>
              </w:rPr>
              <w:t xml:space="preserve">: financial instability, poor mental health, history of housing instability/homelessness, delinquent/criminal behavior; judicial interactions, </w:t>
            </w:r>
            <w:proofErr w:type="spellStart"/>
            <w:r w:rsidRPr="00645B2D">
              <w:rPr>
                <w:color w:val="000000"/>
              </w:rPr>
              <w:t>non descriptive</w:t>
            </w:r>
            <w:proofErr w:type="spellEnd"/>
            <w:r w:rsidRPr="00645B2D">
              <w:rPr>
                <w:color w:val="000000"/>
              </w:rPr>
              <w:t xml:space="preserve"> familial problems, </w:t>
            </w:r>
            <w:proofErr w:type="spellStart"/>
            <w:r w:rsidRPr="00645B2D">
              <w:rPr>
                <w:color w:val="000000"/>
              </w:rPr>
              <w:t>non descriptive</w:t>
            </w:r>
            <w:proofErr w:type="spellEnd"/>
            <w:r w:rsidRPr="00645B2D">
              <w:rPr>
                <w:color w:val="000000"/>
              </w:rPr>
              <w:t xml:space="preserve"> abuse/violence </w:t>
            </w:r>
          </w:p>
          <w:p w14:paraId="6BA1731B" w14:textId="77777777" w:rsidR="00C92EB7" w:rsidRPr="00645B2D" w:rsidRDefault="00C92EB7" w:rsidP="00A40DEB">
            <w:pPr>
              <w:rPr>
                <w:color w:val="000000"/>
              </w:rPr>
            </w:pPr>
            <w:r w:rsidRPr="007B3FA9">
              <w:rPr>
                <w:b/>
                <w:bCs/>
                <w:color w:val="000000"/>
              </w:rPr>
              <w:t>Outcomes</w:t>
            </w:r>
            <w:r w:rsidRPr="00645B2D">
              <w:rPr>
                <w:color w:val="000000"/>
              </w:rPr>
              <w:t>: poor mental health, increased adult homelessness rate </w:t>
            </w:r>
          </w:p>
        </w:tc>
      </w:tr>
      <w:tr w:rsidR="00C92EB7" w:rsidRPr="00645B2D" w14:paraId="55AA988F" w14:textId="77777777" w:rsidTr="00A40DEB">
        <w:trPr>
          <w:trHeight w:val="8423"/>
        </w:trPr>
        <w:tc>
          <w:tcPr>
            <w:tcW w:w="1401" w:type="dxa"/>
            <w:tcBorders>
              <w:top w:val="nil"/>
              <w:left w:val="single" w:sz="4" w:space="0" w:color="auto"/>
              <w:bottom w:val="single" w:sz="4" w:space="0" w:color="auto"/>
              <w:right w:val="single" w:sz="4" w:space="0" w:color="auto"/>
            </w:tcBorders>
            <w:shd w:val="clear" w:color="auto" w:fill="auto"/>
            <w:hideMark/>
          </w:tcPr>
          <w:p w14:paraId="771E7DF0" w14:textId="194375AA" w:rsidR="00C92EB7" w:rsidRPr="00645B2D" w:rsidRDefault="00C92EB7" w:rsidP="00A40DEB">
            <w:r w:rsidRPr="00645B2D">
              <w:lastRenderedPageBreak/>
              <w:t>Jose et al</w:t>
            </w:r>
            <w:r w:rsidRPr="00645B2D">
              <w:rPr>
                <w:vertAlign w:val="superscript"/>
              </w:rPr>
              <w:t>2</w:t>
            </w:r>
            <w:r w:rsidR="00387D48">
              <w:rPr>
                <w:vertAlign w:val="superscript"/>
              </w:rPr>
              <w:t>4</w:t>
            </w:r>
          </w:p>
        </w:tc>
        <w:tc>
          <w:tcPr>
            <w:tcW w:w="1515" w:type="dxa"/>
            <w:tcBorders>
              <w:top w:val="nil"/>
              <w:left w:val="nil"/>
              <w:bottom w:val="single" w:sz="4" w:space="0" w:color="auto"/>
              <w:right w:val="single" w:sz="4" w:space="0" w:color="auto"/>
            </w:tcBorders>
            <w:shd w:val="clear" w:color="auto" w:fill="auto"/>
            <w:hideMark/>
          </w:tcPr>
          <w:p w14:paraId="67D26868" w14:textId="77777777" w:rsidR="00C92EB7" w:rsidRPr="00645B2D" w:rsidRDefault="00C92EB7" w:rsidP="00A40DEB">
            <w:r>
              <w:t>A</w:t>
            </w:r>
            <w:r w:rsidRPr="00645B2D">
              <w:t xml:space="preserve">ges 18-25 </w:t>
            </w:r>
          </w:p>
        </w:tc>
        <w:tc>
          <w:tcPr>
            <w:tcW w:w="1995" w:type="dxa"/>
            <w:tcBorders>
              <w:top w:val="nil"/>
              <w:left w:val="nil"/>
              <w:bottom w:val="single" w:sz="4" w:space="0" w:color="auto"/>
              <w:right w:val="single" w:sz="4" w:space="0" w:color="auto"/>
            </w:tcBorders>
            <w:shd w:val="clear" w:color="auto" w:fill="auto"/>
            <w:hideMark/>
          </w:tcPr>
          <w:p w14:paraId="0DFC4051" w14:textId="77777777" w:rsidR="00C92EB7" w:rsidRPr="00645B2D" w:rsidRDefault="00C92EB7" w:rsidP="00A40DEB">
            <w:r w:rsidRPr="00645B2D">
              <w:t>County (Los Angeles County, CA)</w:t>
            </w:r>
          </w:p>
        </w:tc>
        <w:tc>
          <w:tcPr>
            <w:tcW w:w="1620" w:type="dxa"/>
            <w:tcBorders>
              <w:top w:val="nil"/>
              <w:left w:val="nil"/>
              <w:bottom w:val="single" w:sz="4" w:space="0" w:color="auto"/>
              <w:right w:val="single" w:sz="4" w:space="0" w:color="auto"/>
            </w:tcBorders>
            <w:shd w:val="clear" w:color="auto" w:fill="auto"/>
            <w:hideMark/>
          </w:tcPr>
          <w:p w14:paraId="213C116F" w14:textId="77777777" w:rsidR="00C92EB7" w:rsidRPr="00645B2D" w:rsidRDefault="00C92EB7" w:rsidP="00A40DEB">
            <w:r>
              <w:t>C</w:t>
            </w:r>
            <w:r w:rsidRPr="00645B2D">
              <w:t>ross</w:t>
            </w:r>
            <w:r>
              <w:t>-</w:t>
            </w:r>
            <w:r w:rsidRPr="00645B2D">
              <w:t xml:space="preserve"> </w:t>
            </w:r>
            <w:r>
              <w:t>s</w:t>
            </w:r>
            <w:r w:rsidRPr="00645B2D">
              <w:t>ectional</w:t>
            </w:r>
          </w:p>
        </w:tc>
        <w:tc>
          <w:tcPr>
            <w:tcW w:w="2070" w:type="dxa"/>
            <w:tcBorders>
              <w:top w:val="nil"/>
              <w:left w:val="nil"/>
              <w:bottom w:val="single" w:sz="4" w:space="0" w:color="auto"/>
              <w:right w:val="single" w:sz="4" w:space="0" w:color="auto"/>
            </w:tcBorders>
            <w:shd w:val="clear" w:color="auto" w:fill="auto"/>
            <w:hideMark/>
          </w:tcPr>
          <w:p w14:paraId="18759709" w14:textId="77777777" w:rsidR="00C92EB7" w:rsidRPr="00645B2D" w:rsidRDefault="00C92EB7" w:rsidP="00A40DEB">
            <w:r w:rsidRPr="00645B2D">
              <w:t xml:space="preserve">Examine </w:t>
            </w:r>
            <w:r>
              <w:t xml:space="preserve">the </w:t>
            </w:r>
            <w:r w:rsidRPr="00645B2D">
              <w:t>associations of substance use with instability in housing, employment, and income among young adults experiencing homelessness</w:t>
            </w:r>
          </w:p>
        </w:tc>
        <w:tc>
          <w:tcPr>
            <w:tcW w:w="2700" w:type="dxa"/>
            <w:tcBorders>
              <w:top w:val="nil"/>
              <w:left w:val="nil"/>
              <w:bottom w:val="single" w:sz="4" w:space="0" w:color="auto"/>
              <w:right w:val="single" w:sz="4" w:space="0" w:color="auto"/>
            </w:tcBorders>
            <w:shd w:val="clear" w:color="auto" w:fill="auto"/>
            <w:hideMark/>
          </w:tcPr>
          <w:p w14:paraId="722FE139" w14:textId="77777777" w:rsidR="00C92EB7" w:rsidRPr="00645B2D" w:rsidRDefault="00C92EB7" w:rsidP="00A40DEB">
            <w:r w:rsidRPr="00645B2D">
              <w:t xml:space="preserve">Only about 1 in 4 (24%) of </w:t>
            </w:r>
            <w:proofErr w:type="gramStart"/>
            <w:r w:rsidRPr="00645B2D">
              <w:t>sample</w:t>
            </w:r>
            <w:proofErr w:type="gramEnd"/>
            <w:r w:rsidRPr="00645B2D">
              <w:t xml:space="preserve"> reported having one place where they stayed nightly over a 3-month period, with the average participant reporting finding shelter across 4 different places.  Participants reported having 1 drink per day with around 10% of individuals reporting that they consumed an average of 3 or more drinks per day. Participants self-reported experiencing 3 to 4 alcohol-related consequences over the past month. 78% reported cannabis use, while 32% reported non-cannabis drug use in the past month. 50% </w:t>
            </w:r>
            <w:proofErr w:type="gramStart"/>
            <w:r w:rsidRPr="00645B2D">
              <w:t>reported</w:t>
            </w:r>
            <w:proofErr w:type="gramEnd"/>
            <w:r w:rsidRPr="00645B2D">
              <w:t xml:space="preserve"> consistently without job.  </w:t>
            </w:r>
          </w:p>
        </w:tc>
        <w:tc>
          <w:tcPr>
            <w:tcW w:w="1834" w:type="dxa"/>
            <w:tcBorders>
              <w:top w:val="nil"/>
              <w:left w:val="nil"/>
              <w:bottom w:val="single" w:sz="4" w:space="0" w:color="auto"/>
              <w:right w:val="single" w:sz="4" w:space="0" w:color="auto"/>
            </w:tcBorders>
            <w:shd w:val="clear" w:color="auto" w:fill="auto"/>
            <w:hideMark/>
          </w:tcPr>
          <w:p w14:paraId="31E04750" w14:textId="77777777" w:rsidR="00C92EB7" w:rsidRDefault="00C92EB7" w:rsidP="00A40DEB">
            <w:pPr>
              <w:rPr>
                <w:color w:val="000000"/>
              </w:rPr>
            </w:pPr>
            <w:r w:rsidRPr="007B3FA9">
              <w:rPr>
                <w:b/>
                <w:bCs/>
                <w:color w:val="000000"/>
              </w:rPr>
              <w:t>Risk Factors</w:t>
            </w:r>
            <w:r w:rsidRPr="00645B2D">
              <w:rPr>
                <w:color w:val="000000"/>
              </w:rPr>
              <w:t xml:space="preserve">: financial instability, employment instability, substance use, alcohol use </w:t>
            </w:r>
          </w:p>
          <w:p w14:paraId="041C886E" w14:textId="77777777" w:rsidR="00C92EB7" w:rsidRPr="00645B2D" w:rsidRDefault="00C92EB7" w:rsidP="00A40DEB">
            <w:pPr>
              <w:rPr>
                <w:color w:val="000000"/>
              </w:rPr>
            </w:pPr>
            <w:r w:rsidRPr="007B3FA9">
              <w:rPr>
                <w:b/>
                <w:bCs/>
                <w:color w:val="000000"/>
              </w:rPr>
              <w:t>Outcomes</w:t>
            </w:r>
            <w:r w:rsidRPr="00645B2D">
              <w:rPr>
                <w:color w:val="000000"/>
              </w:rPr>
              <w:t>: financial instability, employment instability, substance use disorder, alcohol use disorder, poor mental health</w:t>
            </w:r>
          </w:p>
        </w:tc>
      </w:tr>
      <w:tr w:rsidR="00C92EB7" w:rsidRPr="00645B2D" w14:paraId="617BF8D4" w14:textId="77777777" w:rsidTr="00A40DEB">
        <w:trPr>
          <w:trHeight w:val="5720"/>
        </w:trPr>
        <w:tc>
          <w:tcPr>
            <w:tcW w:w="1401" w:type="dxa"/>
            <w:tcBorders>
              <w:top w:val="nil"/>
              <w:left w:val="single" w:sz="4" w:space="0" w:color="auto"/>
              <w:bottom w:val="single" w:sz="4" w:space="0" w:color="auto"/>
              <w:right w:val="single" w:sz="4" w:space="0" w:color="auto"/>
            </w:tcBorders>
            <w:shd w:val="clear" w:color="auto" w:fill="auto"/>
            <w:hideMark/>
          </w:tcPr>
          <w:p w14:paraId="0CAB936C" w14:textId="1213B8CC" w:rsidR="00C92EB7" w:rsidRPr="00645B2D" w:rsidRDefault="00C92EB7" w:rsidP="00A40DEB">
            <w:r w:rsidRPr="00645B2D">
              <w:lastRenderedPageBreak/>
              <w:t>Keen et al</w:t>
            </w:r>
            <w:r w:rsidRPr="00645B2D">
              <w:rPr>
                <w:vertAlign w:val="superscript"/>
              </w:rPr>
              <w:t>2</w:t>
            </w:r>
            <w:r w:rsidR="00387D48">
              <w:rPr>
                <w:vertAlign w:val="superscript"/>
              </w:rPr>
              <w:t>5</w:t>
            </w:r>
          </w:p>
        </w:tc>
        <w:tc>
          <w:tcPr>
            <w:tcW w:w="1515" w:type="dxa"/>
            <w:tcBorders>
              <w:top w:val="nil"/>
              <w:left w:val="nil"/>
              <w:bottom w:val="single" w:sz="4" w:space="0" w:color="auto"/>
              <w:right w:val="single" w:sz="4" w:space="0" w:color="auto"/>
            </w:tcBorders>
            <w:shd w:val="clear" w:color="auto" w:fill="auto"/>
            <w:hideMark/>
          </w:tcPr>
          <w:p w14:paraId="2D43582C" w14:textId="77777777" w:rsidR="00C92EB7" w:rsidRPr="00645B2D" w:rsidRDefault="00C92EB7" w:rsidP="00A40DEB">
            <w:r>
              <w:t xml:space="preserve">Longitudinal data.  </w:t>
            </w:r>
            <w:r w:rsidRPr="00645B2D">
              <w:t>Individuals aged 9, 11, and 13 years at baseline with repeat measurement at various frequencies until age 30.</w:t>
            </w:r>
          </w:p>
        </w:tc>
        <w:tc>
          <w:tcPr>
            <w:tcW w:w="1995" w:type="dxa"/>
            <w:tcBorders>
              <w:top w:val="nil"/>
              <w:left w:val="nil"/>
              <w:bottom w:val="single" w:sz="4" w:space="0" w:color="auto"/>
              <w:right w:val="single" w:sz="4" w:space="0" w:color="auto"/>
            </w:tcBorders>
            <w:shd w:val="clear" w:color="auto" w:fill="auto"/>
            <w:hideMark/>
          </w:tcPr>
          <w:p w14:paraId="0B9A63D5" w14:textId="77777777" w:rsidR="00C92EB7" w:rsidRPr="00645B2D" w:rsidRDefault="00C92EB7" w:rsidP="00A40DEB">
            <w:r w:rsidRPr="00645B2D">
              <w:t>Regional, within single state (Western NC)</w:t>
            </w:r>
          </w:p>
        </w:tc>
        <w:tc>
          <w:tcPr>
            <w:tcW w:w="1620" w:type="dxa"/>
            <w:tcBorders>
              <w:top w:val="nil"/>
              <w:left w:val="nil"/>
              <w:bottom w:val="single" w:sz="4" w:space="0" w:color="auto"/>
              <w:right w:val="single" w:sz="4" w:space="0" w:color="auto"/>
            </w:tcBorders>
            <w:shd w:val="clear" w:color="auto" w:fill="auto"/>
            <w:hideMark/>
          </w:tcPr>
          <w:p w14:paraId="3CF49FAC" w14:textId="77777777" w:rsidR="00C92EB7" w:rsidRPr="00645B2D" w:rsidRDefault="00C92EB7" w:rsidP="00A40DEB">
            <w:r>
              <w:t>L</w:t>
            </w:r>
            <w:r w:rsidRPr="00645B2D">
              <w:t>ongitudinal</w:t>
            </w:r>
          </w:p>
        </w:tc>
        <w:tc>
          <w:tcPr>
            <w:tcW w:w="2070" w:type="dxa"/>
            <w:tcBorders>
              <w:top w:val="nil"/>
              <w:left w:val="nil"/>
              <w:bottom w:val="single" w:sz="4" w:space="0" w:color="auto"/>
              <w:right w:val="single" w:sz="4" w:space="0" w:color="auto"/>
            </w:tcBorders>
            <w:shd w:val="clear" w:color="auto" w:fill="auto"/>
            <w:hideMark/>
          </w:tcPr>
          <w:p w14:paraId="0F9E534B" w14:textId="77777777" w:rsidR="00C92EB7" w:rsidRPr="00645B2D" w:rsidRDefault="00C92EB7" w:rsidP="00A40DEB">
            <w:r w:rsidRPr="00645B2D">
              <w:t>Examine whether childhood housing insecurity is associated with later anxiety and depression symptoms after adjusting for time-varying measures of childhood poverty.</w:t>
            </w:r>
          </w:p>
        </w:tc>
        <w:tc>
          <w:tcPr>
            <w:tcW w:w="2700" w:type="dxa"/>
            <w:tcBorders>
              <w:top w:val="nil"/>
              <w:left w:val="nil"/>
              <w:bottom w:val="single" w:sz="4" w:space="0" w:color="auto"/>
              <w:right w:val="single" w:sz="4" w:space="0" w:color="auto"/>
            </w:tcBorders>
            <w:shd w:val="clear" w:color="auto" w:fill="auto"/>
            <w:hideMark/>
          </w:tcPr>
          <w:p w14:paraId="47EE1480" w14:textId="77777777" w:rsidR="00C92EB7" w:rsidRPr="00645B2D" w:rsidRDefault="00C92EB7" w:rsidP="00A40DEB">
            <w:r w:rsidRPr="00645B2D">
              <w:t>Standardized mean (SD) baseline anxiety and depression symptom scores were higher among children who experienced housing insecurity than among those who never experienced housing insecurity</w:t>
            </w:r>
            <w:r>
              <w:t xml:space="preserve">.  </w:t>
            </w:r>
            <w:r w:rsidRPr="00645B2D">
              <w:t>Individuals who experienced childhood housing insecurity had higher anxiety symptom scores and higher depression symptom scores</w:t>
            </w:r>
            <w:r>
              <w:t xml:space="preserve"> </w:t>
            </w:r>
            <w:r w:rsidRPr="00645B2D">
              <w:t>during childhood. In adulthood, childhood housing insecurity was associated with higher depression symptom scores</w:t>
            </w:r>
            <w:r>
              <w:t>.</w:t>
            </w:r>
            <w:r w:rsidRPr="00645B2D">
              <w:t xml:space="preserve"> </w:t>
            </w:r>
          </w:p>
        </w:tc>
        <w:tc>
          <w:tcPr>
            <w:tcW w:w="1834" w:type="dxa"/>
            <w:tcBorders>
              <w:top w:val="nil"/>
              <w:left w:val="nil"/>
              <w:bottom w:val="single" w:sz="4" w:space="0" w:color="auto"/>
              <w:right w:val="single" w:sz="4" w:space="0" w:color="auto"/>
            </w:tcBorders>
            <w:shd w:val="clear" w:color="auto" w:fill="auto"/>
            <w:hideMark/>
          </w:tcPr>
          <w:p w14:paraId="13954B71" w14:textId="77777777" w:rsidR="00C92EB7" w:rsidRPr="00645B2D" w:rsidRDefault="00C92EB7" w:rsidP="00A40DEB">
            <w:pPr>
              <w:rPr>
                <w:color w:val="000000"/>
              </w:rPr>
            </w:pPr>
            <w:r w:rsidRPr="007B3FA9">
              <w:rPr>
                <w:b/>
                <w:bCs/>
                <w:color w:val="000000"/>
              </w:rPr>
              <w:t>Outcomes</w:t>
            </w:r>
            <w:r w:rsidRPr="00645B2D">
              <w:rPr>
                <w:color w:val="000000"/>
              </w:rPr>
              <w:t>: poor mental health</w:t>
            </w:r>
          </w:p>
        </w:tc>
      </w:tr>
      <w:tr w:rsidR="00C92EB7" w:rsidRPr="00645B2D" w14:paraId="4A960372" w14:textId="77777777" w:rsidTr="00A40DEB">
        <w:trPr>
          <w:trHeight w:val="5000"/>
        </w:trPr>
        <w:tc>
          <w:tcPr>
            <w:tcW w:w="1401" w:type="dxa"/>
            <w:tcBorders>
              <w:top w:val="nil"/>
              <w:left w:val="single" w:sz="4" w:space="0" w:color="auto"/>
              <w:bottom w:val="single" w:sz="4" w:space="0" w:color="auto"/>
              <w:right w:val="single" w:sz="4" w:space="0" w:color="auto"/>
            </w:tcBorders>
            <w:shd w:val="clear" w:color="auto" w:fill="auto"/>
            <w:hideMark/>
          </w:tcPr>
          <w:p w14:paraId="6C05C17E" w14:textId="4A7FEF75" w:rsidR="00C92EB7" w:rsidRPr="00645B2D" w:rsidRDefault="00C92EB7" w:rsidP="00A40DEB">
            <w:r w:rsidRPr="00645B2D">
              <w:lastRenderedPageBreak/>
              <w:t>Leonard et al</w:t>
            </w:r>
            <w:r w:rsidR="00387D48">
              <w:rPr>
                <w:vertAlign w:val="superscript"/>
              </w:rPr>
              <w:t>26</w:t>
            </w:r>
          </w:p>
        </w:tc>
        <w:tc>
          <w:tcPr>
            <w:tcW w:w="1515" w:type="dxa"/>
            <w:tcBorders>
              <w:top w:val="nil"/>
              <w:left w:val="nil"/>
              <w:bottom w:val="single" w:sz="4" w:space="0" w:color="auto"/>
              <w:right w:val="single" w:sz="4" w:space="0" w:color="auto"/>
            </w:tcBorders>
            <w:shd w:val="clear" w:color="auto" w:fill="auto"/>
            <w:hideMark/>
          </w:tcPr>
          <w:p w14:paraId="33DCEEDE" w14:textId="77777777" w:rsidR="00C92EB7" w:rsidRPr="00645B2D" w:rsidRDefault="00C92EB7" w:rsidP="00A40DEB">
            <w:r>
              <w:t>A</w:t>
            </w:r>
            <w:r w:rsidRPr="00645B2D">
              <w:t>ges 12-24</w:t>
            </w:r>
          </w:p>
        </w:tc>
        <w:tc>
          <w:tcPr>
            <w:tcW w:w="1995" w:type="dxa"/>
            <w:tcBorders>
              <w:top w:val="nil"/>
              <w:left w:val="nil"/>
              <w:bottom w:val="single" w:sz="4" w:space="0" w:color="auto"/>
              <w:right w:val="single" w:sz="4" w:space="0" w:color="auto"/>
            </w:tcBorders>
            <w:shd w:val="clear" w:color="auto" w:fill="auto"/>
            <w:hideMark/>
          </w:tcPr>
          <w:p w14:paraId="3DC48A4C" w14:textId="77777777" w:rsidR="00C92EB7" w:rsidRPr="00645B2D" w:rsidRDefault="00C92EB7" w:rsidP="00A40DEB">
            <w:r w:rsidRPr="00645B2D">
              <w:t>City/</w:t>
            </w:r>
            <w:r>
              <w:t>M</w:t>
            </w:r>
            <w:r w:rsidRPr="00645B2D">
              <w:t>etropolitan (San Francisco, CA)</w:t>
            </w:r>
          </w:p>
        </w:tc>
        <w:tc>
          <w:tcPr>
            <w:tcW w:w="1620" w:type="dxa"/>
            <w:tcBorders>
              <w:top w:val="nil"/>
              <w:left w:val="nil"/>
              <w:bottom w:val="single" w:sz="4" w:space="0" w:color="auto"/>
              <w:right w:val="single" w:sz="4" w:space="0" w:color="auto"/>
            </w:tcBorders>
            <w:shd w:val="clear" w:color="auto" w:fill="auto"/>
            <w:hideMark/>
          </w:tcPr>
          <w:p w14:paraId="37FA62AC" w14:textId="77777777" w:rsidR="00C92EB7" w:rsidRPr="00645B2D" w:rsidRDefault="00C92EB7" w:rsidP="00A40DEB">
            <w:r>
              <w:t>C</w:t>
            </w:r>
            <w:r w:rsidRPr="00645B2D">
              <w:t>ross</w:t>
            </w:r>
            <w:r>
              <w:t>-</w:t>
            </w:r>
            <w:r w:rsidRPr="00645B2D">
              <w:t xml:space="preserve"> sectional</w:t>
            </w:r>
          </w:p>
        </w:tc>
        <w:tc>
          <w:tcPr>
            <w:tcW w:w="2070" w:type="dxa"/>
            <w:tcBorders>
              <w:top w:val="nil"/>
              <w:left w:val="nil"/>
              <w:bottom w:val="single" w:sz="4" w:space="0" w:color="auto"/>
              <w:right w:val="single" w:sz="4" w:space="0" w:color="auto"/>
            </w:tcBorders>
            <w:shd w:val="clear" w:color="auto" w:fill="auto"/>
            <w:hideMark/>
          </w:tcPr>
          <w:p w14:paraId="1BA82AE4" w14:textId="77777777" w:rsidR="00C92EB7" w:rsidRPr="00645B2D" w:rsidRDefault="00C92EB7" w:rsidP="00A40DEB">
            <w:r w:rsidRPr="00645B2D">
              <w:t>Prevalence and correlates of methamphetamine use in transitional age youth experiencing homelessness or housing instability in San Francisco, CA</w:t>
            </w:r>
          </w:p>
        </w:tc>
        <w:tc>
          <w:tcPr>
            <w:tcW w:w="2700" w:type="dxa"/>
            <w:tcBorders>
              <w:top w:val="nil"/>
              <w:left w:val="nil"/>
              <w:bottom w:val="single" w:sz="4" w:space="0" w:color="auto"/>
              <w:right w:val="single" w:sz="4" w:space="0" w:color="auto"/>
            </w:tcBorders>
            <w:shd w:val="clear" w:color="auto" w:fill="auto"/>
            <w:hideMark/>
          </w:tcPr>
          <w:p w14:paraId="1D822E78" w14:textId="77777777" w:rsidR="00C92EB7" w:rsidRPr="00645B2D" w:rsidRDefault="00C92EB7" w:rsidP="00A40DEB">
            <w:r w:rsidRPr="00645B2D">
              <w:t xml:space="preserve">Of those who reported methamphetamine use in the past 3 months, 64% were Gay, Bisexual, or Pansexual. Factors independently associated with methamphetamine use </w:t>
            </w:r>
            <w:proofErr w:type="gramStart"/>
            <w:r w:rsidRPr="00645B2D">
              <w:t>were;</w:t>
            </w:r>
            <w:proofErr w:type="gramEnd"/>
            <w:r w:rsidRPr="00645B2D">
              <w:t xml:space="preserve"> living with HIV (adjusted odds ratio [</w:t>
            </w:r>
            <w:proofErr w:type="spellStart"/>
            <w:r w:rsidRPr="00645B2D">
              <w:t>aOR</w:t>
            </w:r>
            <w:proofErr w:type="spellEnd"/>
            <w:r w:rsidRPr="00645B2D">
              <w:t>] = 3.18), depressive symptoms (</w:t>
            </w:r>
            <w:proofErr w:type="spellStart"/>
            <w:r w:rsidRPr="00645B2D">
              <w:t>aOR</w:t>
            </w:r>
            <w:proofErr w:type="spellEnd"/>
            <w:r w:rsidRPr="00645B2D">
              <w:t xml:space="preserve"> = 6.02), symptoms of PTSD (</w:t>
            </w:r>
            <w:proofErr w:type="spellStart"/>
            <w:r w:rsidRPr="00645B2D">
              <w:t>aOR</w:t>
            </w:r>
            <w:proofErr w:type="spellEnd"/>
            <w:r w:rsidRPr="00645B2D">
              <w:t xml:space="preserve"> = 13.38), polysubstance use in the past 3 months (</w:t>
            </w:r>
            <w:proofErr w:type="spellStart"/>
            <w:r w:rsidRPr="00645B2D">
              <w:t>aOR</w:t>
            </w:r>
            <w:proofErr w:type="spellEnd"/>
            <w:r w:rsidRPr="00645B2D">
              <w:t xml:space="preserve"> = 50.02) and a history of injection drug use (</w:t>
            </w:r>
            <w:proofErr w:type="spellStart"/>
            <w:r w:rsidRPr="00645B2D">
              <w:t>aOR</w:t>
            </w:r>
            <w:proofErr w:type="spellEnd"/>
            <w:r w:rsidRPr="00645B2D">
              <w:t xml:space="preserve"> = 8.38). </w:t>
            </w:r>
          </w:p>
        </w:tc>
        <w:tc>
          <w:tcPr>
            <w:tcW w:w="1834" w:type="dxa"/>
            <w:tcBorders>
              <w:top w:val="nil"/>
              <w:left w:val="nil"/>
              <w:bottom w:val="single" w:sz="4" w:space="0" w:color="auto"/>
              <w:right w:val="single" w:sz="4" w:space="0" w:color="auto"/>
            </w:tcBorders>
            <w:shd w:val="clear" w:color="auto" w:fill="auto"/>
            <w:hideMark/>
          </w:tcPr>
          <w:p w14:paraId="263D6991" w14:textId="77777777" w:rsidR="00C92EB7" w:rsidRDefault="00C92EB7" w:rsidP="00A40DEB">
            <w:pPr>
              <w:rPr>
                <w:color w:val="000000"/>
              </w:rPr>
            </w:pPr>
            <w:r w:rsidRPr="007B3FA9">
              <w:rPr>
                <w:b/>
                <w:bCs/>
                <w:color w:val="000000"/>
              </w:rPr>
              <w:t>Risk Factors</w:t>
            </w:r>
            <w:r w:rsidRPr="00645B2D">
              <w:rPr>
                <w:color w:val="000000"/>
              </w:rPr>
              <w:t xml:space="preserve">: transitional housing, LGBTQ+, substance use </w:t>
            </w:r>
          </w:p>
          <w:p w14:paraId="1D07AD74" w14:textId="77777777" w:rsidR="00C92EB7" w:rsidRPr="00645B2D" w:rsidRDefault="00C92EB7" w:rsidP="00A40DEB">
            <w:pPr>
              <w:rPr>
                <w:color w:val="000000"/>
              </w:rPr>
            </w:pPr>
            <w:r w:rsidRPr="007B3FA9">
              <w:rPr>
                <w:b/>
                <w:bCs/>
                <w:color w:val="000000"/>
              </w:rPr>
              <w:t>Outcomes</w:t>
            </w:r>
            <w:r w:rsidRPr="00645B2D">
              <w:rPr>
                <w:color w:val="000000"/>
              </w:rPr>
              <w:t>: sexual transmitted diseases, substance use disorder, poor mental health</w:t>
            </w:r>
          </w:p>
        </w:tc>
      </w:tr>
      <w:tr w:rsidR="00C92EB7" w:rsidRPr="00645B2D" w14:paraId="4A9AE72A" w14:textId="77777777" w:rsidTr="00A40DEB">
        <w:trPr>
          <w:trHeight w:val="4360"/>
        </w:trPr>
        <w:tc>
          <w:tcPr>
            <w:tcW w:w="1401" w:type="dxa"/>
            <w:tcBorders>
              <w:top w:val="nil"/>
              <w:left w:val="single" w:sz="4" w:space="0" w:color="auto"/>
              <w:bottom w:val="single" w:sz="4" w:space="0" w:color="auto"/>
              <w:right w:val="single" w:sz="4" w:space="0" w:color="auto"/>
            </w:tcBorders>
            <w:shd w:val="clear" w:color="auto" w:fill="auto"/>
            <w:hideMark/>
          </w:tcPr>
          <w:p w14:paraId="780F111D" w14:textId="72B125EE" w:rsidR="00C92EB7" w:rsidRPr="00645B2D" w:rsidRDefault="00C92EB7" w:rsidP="00A40DEB">
            <w:r w:rsidRPr="00645B2D">
              <w:lastRenderedPageBreak/>
              <w:t>Lewis et al</w:t>
            </w:r>
            <w:r w:rsidR="00387D48">
              <w:rPr>
                <w:vertAlign w:val="superscript"/>
              </w:rPr>
              <w:t>27</w:t>
            </w:r>
          </w:p>
        </w:tc>
        <w:tc>
          <w:tcPr>
            <w:tcW w:w="1515" w:type="dxa"/>
            <w:tcBorders>
              <w:top w:val="nil"/>
              <w:left w:val="nil"/>
              <w:bottom w:val="single" w:sz="4" w:space="0" w:color="auto"/>
              <w:right w:val="single" w:sz="4" w:space="0" w:color="auto"/>
            </w:tcBorders>
            <w:shd w:val="clear" w:color="auto" w:fill="auto"/>
            <w:hideMark/>
          </w:tcPr>
          <w:p w14:paraId="75108A88" w14:textId="77777777" w:rsidR="00C92EB7" w:rsidRPr="00645B2D" w:rsidRDefault="00C92EB7" w:rsidP="00A40DEB">
            <w:r>
              <w:t>A</w:t>
            </w:r>
            <w:r w:rsidRPr="00645B2D">
              <w:t xml:space="preserve">ges 18-24 </w:t>
            </w:r>
          </w:p>
        </w:tc>
        <w:tc>
          <w:tcPr>
            <w:tcW w:w="1995" w:type="dxa"/>
            <w:tcBorders>
              <w:top w:val="nil"/>
              <w:left w:val="nil"/>
              <w:bottom w:val="single" w:sz="4" w:space="0" w:color="auto"/>
              <w:right w:val="single" w:sz="4" w:space="0" w:color="auto"/>
            </w:tcBorders>
            <w:shd w:val="clear" w:color="auto" w:fill="auto"/>
            <w:hideMark/>
          </w:tcPr>
          <w:p w14:paraId="169F6D22" w14:textId="77777777" w:rsidR="00C92EB7" w:rsidRPr="00645B2D" w:rsidRDefault="00C92EB7" w:rsidP="00A40DEB">
            <w:r w:rsidRPr="00645B2D">
              <w:t>City/</w:t>
            </w:r>
            <w:r>
              <w:t>M</w:t>
            </w:r>
            <w:r w:rsidRPr="00645B2D">
              <w:t>etropolitan (Baltimore,</w:t>
            </w:r>
            <w:r>
              <w:t xml:space="preserve"> </w:t>
            </w:r>
            <w:r w:rsidRPr="00645B2D">
              <w:t>MD)</w:t>
            </w:r>
          </w:p>
        </w:tc>
        <w:tc>
          <w:tcPr>
            <w:tcW w:w="1620" w:type="dxa"/>
            <w:tcBorders>
              <w:top w:val="nil"/>
              <w:left w:val="nil"/>
              <w:bottom w:val="single" w:sz="4" w:space="0" w:color="auto"/>
              <w:right w:val="single" w:sz="4" w:space="0" w:color="auto"/>
            </w:tcBorders>
            <w:shd w:val="clear" w:color="auto" w:fill="auto"/>
            <w:hideMark/>
          </w:tcPr>
          <w:p w14:paraId="7D2A7037" w14:textId="77777777" w:rsidR="00C92EB7" w:rsidRPr="00645B2D" w:rsidRDefault="00C92EB7" w:rsidP="00A40DEB">
            <w:r>
              <w:t>C</w:t>
            </w:r>
            <w:r w:rsidRPr="00645B2D">
              <w:t>ross</w:t>
            </w:r>
            <w:r>
              <w:t>-</w:t>
            </w:r>
            <w:r w:rsidRPr="00645B2D">
              <w:t xml:space="preserve"> sectional</w:t>
            </w:r>
          </w:p>
        </w:tc>
        <w:tc>
          <w:tcPr>
            <w:tcW w:w="2070" w:type="dxa"/>
            <w:tcBorders>
              <w:top w:val="nil"/>
              <w:left w:val="nil"/>
              <w:bottom w:val="single" w:sz="4" w:space="0" w:color="auto"/>
              <w:right w:val="single" w:sz="4" w:space="0" w:color="auto"/>
            </w:tcBorders>
            <w:shd w:val="clear" w:color="auto" w:fill="auto"/>
            <w:hideMark/>
          </w:tcPr>
          <w:p w14:paraId="601FD707" w14:textId="77777777" w:rsidR="00C92EB7" w:rsidRPr="00645B2D" w:rsidRDefault="00C92EB7" w:rsidP="00A40DEB">
            <w:proofErr w:type="gramStart"/>
            <w:r w:rsidRPr="00645B2D">
              <w:t>Examine</w:t>
            </w:r>
            <w:r>
              <w:t>s</w:t>
            </w:r>
            <w:proofErr w:type="gramEnd"/>
            <w:r w:rsidRPr="00645B2D">
              <w:t xml:space="preserve"> housing instability among youth affected by drug abuse</w:t>
            </w:r>
            <w:r>
              <w:t>.</w:t>
            </w:r>
          </w:p>
        </w:tc>
        <w:tc>
          <w:tcPr>
            <w:tcW w:w="2700" w:type="dxa"/>
            <w:tcBorders>
              <w:top w:val="nil"/>
              <w:left w:val="nil"/>
              <w:bottom w:val="single" w:sz="4" w:space="0" w:color="auto"/>
              <w:right w:val="single" w:sz="4" w:space="0" w:color="auto"/>
            </w:tcBorders>
            <w:shd w:val="clear" w:color="auto" w:fill="auto"/>
            <w:hideMark/>
          </w:tcPr>
          <w:p w14:paraId="40891ADC" w14:textId="77777777" w:rsidR="00C92EB7" w:rsidRPr="00645B2D" w:rsidRDefault="00C92EB7" w:rsidP="00A40DEB">
            <w:r w:rsidRPr="00645B2D">
              <w:t xml:space="preserve">Three themes emerged to characterize housing experiences: frequent housing transitions, repeated trauma exposures related to housing instability, and the lasting effects of housing instability. </w:t>
            </w:r>
          </w:p>
        </w:tc>
        <w:tc>
          <w:tcPr>
            <w:tcW w:w="1834" w:type="dxa"/>
            <w:tcBorders>
              <w:top w:val="nil"/>
              <w:left w:val="nil"/>
              <w:bottom w:val="single" w:sz="4" w:space="0" w:color="auto"/>
              <w:right w:val="single" w:sz="4" w:space="0" w:color="auto"/>
            </w:tcBorders>
            <w:shd w:val="clear" w:color="auto" w:fill="auto"/>
            <w:hideMark/>
          </w:tcPr>
          <w:p w14:paraId="66D8324D" w14:textId="77777777" w:rsidR="00C92EB7" w:rsidRDefault="00C92EB7" w:rsidP="00A40DEB">
            <w:pPr>
              <w:rPr>
                <w:color w:val="000000"/>
              </w:rPr>
            </w:pPr>
            <w:r w:rsidRPr="0064441B">
              <w:rPr>
                <w:b/>
                <w:bCs/>
                <w:color w:val="000000"/>
              </w:rPr>
              <w:t>Risk Factors</w:t>
            </w:r>
            <w:r w:rsidRPr="00645B2D">
              <w:rPr>
                <w:color w:val="000000"/>
              </w:rPr>
              <w:t>: household substance use, lack of parental involvement, history of housing instability/</w:t>
            </w:r>
          </w:p>
          <w:p w14:paraId="0F0E9FA6" w14:textId="77777777" w:rsidR="00C92EB7" w:rsidRDefault="00C92EB7" w:rsidP="00A40DEB">
            <w:pPr>
              <w:rPr>
                <w:color w:val="000000"/>
              </w:rPr>
            </w:pPr>
            <w:r w:rsidRPr="00645B2D">
              <w:rPr>
                <w:color w:val="000000"/>
              </w:rPr>
              <w:t xml:space="preserve">homelessness </w:t>
            </w:r>
          </w:p>
          <w:p w14:paraId="3F0F5775" w14:textId="77777777" w:rsidR="00C92EB7" w:rsidRPr="00645B2D" w:rsidRDefault="00C92EB7" w:rsidP="00A40DEB">
            <w:pPr>
              <w:rPr>
                <w:color w:val="000000"/>
              </w:rPr>
            </w:pPr>
            <w:r w:rsidRPr="0064441B">
              <w:rPr>
                <w:b/>
                <w:bCs/>
                <w:color w:val="000000"/>
              </w:rPr>
              <w:t>Outcomes</w:t>
            </w:r>
            <w:r w:rsidRPr="00645B2D">
              <w:rPr>
                <w:color w:val="000000"/>
              </w:rPr>
              <w:t>: poor physical health, lack of social support, substance use disorder, poor mental health, sexual abuse/violence, physical abuse/violence, low academic achievement, criminal/judicial interactions</w:t>
            </w:r>
          </w:p>
        </w:tc>
      </w:tr>
      <w:tr w:rsidR="00C92EB7" w:rsidRPr="00645B2D" w14:paraId="1789EDE3" w14:textId="77777777" w:rsidTr="00A40DEB">
        <w:trPr>
          <w:trHeight w:val="8140"/>
        </w:trPr>
        <w:tc>
          <w:tcPr>
            <w:tcW w:w="1401" w:type="dxa"/>
            <w:tcBorders>
              <w:top w:val="nil"/>
              <w:left w:val="single" w:sz="4" w:space="0" w:color="auto"/>
              <w:bottom w:val="single" w:sz="4" w:space="0" w:color="auto"/>
              <w:right w:val="single" w:sz="4" w:space="0" w:color="auto"/>
            </w:tcBorders>
            <w:shd w:val="clear" w:color="auto" w:fill="auto"/>
            <w:hideMark/>
          </w:tcPr>
          <w:p w14:paraId="33A310EC" w14:textId="2E9BB8B4" w:rsidR="00C92EB7" w:rsidRPr="00645B2D" w:rsidRDefault="00C92EB7" w:rsidP="00A40DEB">
            <w:r w:rsidRPr="00645B2D">
              <w:lastRenderedPageBreak/>
              <w:t>Liu et al</w:t>
            </w:r>
            <w:r w:rsidR="00387D48">
              <w:rPr>
                <w:vertAlign w:val="superscript"/>
              </w:rPr>
              <w:t>28</w:t>
            </w:r>
          </w:p>
        </w:tc>
        <w:tc>
          <w:tcPr>
            <w:tcW w:w="1515" w:type="dxa"/>
            <w:tcBorders>
              <w:top w:val="nil"/>
              <w:left w:val="nil"/>
              <w:bottom w:val="single" w:sz="4" w:space="0" w:color="auto"/>
              <w:right w:val="single" w:sz="4" w:space="0" w:color="auto"/>
            </w:tcBorders>
            <w:shd w:val="clear" w:color="auto" w:fill="auto"/>
            <w:hideMark/>
          </w:tcPr>
          <w:p w14:paraId="11CCFF56" w14:textId="77777777" w:rsidR="00C92EB7" w:rsidRPr="00645B2D" w:rsidRDefault="00C92EB7" w:rsidP="00A40DEB">
            <w:r>
              <w:t>G</w:t>
            </w:r>
            <w:r w:rsidRPr="00645B2D">
              <w:t>rades 9-12</w:t>
            </w:r>
          </w:p>
        </w:tc>
        <w:tc>
          <w:tcPr>
            <w:tcW w:w="1995" w:type="dxa"/>
            <w:tcBorders>
              <w:top w:val="nil"/>
              <w:left w:val="nil"/>
              <w:bottom w:val="single" w:sz="4" w:space="0" w:color="auto"/>
              <w:right w:val="single" w:sz="4" w:space="0" w:color="auto"/>
            </w:tcBorders>
            <w:shd w:val="clear" w:color="auto" w:fill="auto"/>
            <w:hideMark/>
          </w:tcPr>
          <w:p w14:paraId="006C324E" w14:textId="77777777" w:rsidR="00C92EB7" w:rsidRPr="00645B2D" w:rsidRDefault="00C92EB7" w:rsidP="00A40DEB">
            <w:r>
              <w:t>M</w:t>
            </w:r>
            <w:r w:rsidRPr="00645B2D">
              <w:t xml:space="preserve">ulti </w:t>
            </w:r>
            <w:r>
              <w:t>L</w:t>
            </w:r>
            <w:r w:rsidRPr="00645B2D">
              <w:t>ocation</w:t>
            </w:r>
            <w:r>
              <w:t>s, Within US</w:t>
            </w:r>
            <w:r w:rsidRPr="00645B2D">
              <w:t xml:space="preserve"> (unspecified)</w:t>
            </w:r>
          </w:p>
        </w:tc>
        <w:tc>
          <w:tcPr>
            <w:tcW w:w="1620" w:type="dxa"/>
            <w:tcBorders>
              <w:top w:val="nil"/>
              <w:left w:val="nil"/>
              <w:bottom w:val="single" w:sz="4" w:space="0" w:color="auto"/>
              <w:right w:val="single" w:sz="4" w:space="0" w:color="auto"/>
            </w:tcBorders>
            <w:shd w:val="clear" w:color="auto" w:fill="auto"/>
            <w:hideMark/>
          </w:tcPr>
          <w:p w14:paraId="51D28651" w14:textId="77777777" w:rsidR="00C92EB7" w:rsidRPr="00645B2D" w:rsidRDefault="00C92EB7" w:rsidP="00A40DEB">
            <w:r>
              <w:t>C</w:t>
            </w:r>
            <w:r w:rsidRPr="00645B2D">
              <w:t>ross</w:t>
            </w:r>
            <w:r>
              <w:t>-</w:t>
            </w:r>
            <w:r w:rsidRPr="00645B2D">
              <w:t xml:space="preserve"> sectional</w:t>
            </w:r>
          </w:p>
        </w:tc>
        <w:tc>
          <w:tcPr>
            <w:tcW w:w="2070" w:type="dxa"/>
            <w:tcBorders>
              <w:top w:val="nil"/>
              <w:left w:val="nil"/>
              <w:bottom w:val="single" w:sz="4" w:space="0" w:color="auto"/>
              <w:right w:val="single" w:sz="4" w:space="0" w:color="auto"/>
            </w:tcBorders>
            <w:shd w:val="clear" w:color="auto" w:fill="auto"/>
            <w:hideMark/>
          </w:tcPr>
          <w:p w14:paraId="1477C32C" w14:textId="77777777" w:rsidR="00C92EB7" w:rsidRPr="00645B2D" w:rsidRDefault="00C92EB7" w:rsidP="00A40DEB">
            <w:r w:rsidRPr="00645B2D">
              <w:t>Evaluated mental health and substance use outcomes among homeless and non</w:t>
            </w:r>
            <w:r>
              <w:t>-</w:t>
            </w:r>
            <w:r w:rsidRPr="00645B2D">
              <w:t>homeless adolescents.</w:t>
            </w:r>
          </w:p>
        </w:tc>
        <w:tc>
          <w:tcPr>
            <w:tcW w:w="2700" w:type="dxa"/>
            <w:tcBorders>
              <w:top w:val="nil"/>
              <w:left w:val="nil"/>
              <w:bottom w:val="single" w:sz="4" w:space="0" w:color="auto"/>
              <w:right w:val="single" w:sz="4" w:space="0" w:color="auto"/>
            </w:tcBorders>
            <w:shd w:val="clear" w:color="auto" w:fill="auto"/>
            <w:hideMark/>
          </w:tcPr>
          <w:p w14:paraId="51872395" w14:textId="77777777" w:rsidR="00C92EB7" w:rsidRPr="00645B2D" w:rsidRDefault="00C92EB7" w:rsidP="00A40DEB">
            <w:r w:rsidRPr="00645B2D">
              <w:t>Homeless adolescents were more likely than non</w:t>
            </w:r>
            <w:r>
              <w:t>-</w:t>
            </w:r>
            <w:r w:rsidRPr="00645B2D">
              <w:t xml:space="preserve">homeless to report persistent sadness or hopelessness (53.0% vs 37.2%), having seriously considered suicide (44.4% vs 19.2), planned suicide (41.8% vs 16.1%), </w:t>
            </w:r>
            <w:r>
              <w:t>&amp;</w:t>
            </w:r>
            <w:r w:rsidRPr="00645B2D">
              <w:t xml:space="preserve"> attempted suicide (28.0% vs 8.0%).  Current cigarette use (28.7% for homeless </w:t>
            </w:r>
            <w:proofErr w:type="gramStart"/>
            <w:r w:rsidRPr="00645B2D">
              <w:t>adolescents</w:t>
            </w:r>
            <w:proofErr w:type="gramEnd"/>
            <w:r w:rsidRPr="00645B2D">
              <w:t xml:space="preserve"> vs 5.3% for non</w:t>
            </w:r>
            <w:r>
              <w:t>-</w:t>
            </w:r>
            <w:r w:rsidRPr="00645B2D">
              <w:t xml:space="preserve">homeless adolescents), marijuana use (31.6% vs 18.4%), </w:t>
            </w:r>
            <w:r>
              <w:t>&amp;</w:t>
            </w:r>
            <w:r w:rsidRPr="00645B2D">
              <w:t xml:space="preserve"> binge drinking (21.4% vs 10.3%). Lifetime cocaine use was significantly higher among homeless </w:t>
            </w:r>
            <w:proofErr w:type="gramStart"/>
            <w:r w:rsidRPr="00645B2D">
              <w:t>adolescents</w:t>
            </w:r>
            <w:proofErr w:type="gramEnd"/>
            <w:r w:rsidRPr="00645B2D">
              <w:t xml:space="preserve"> vs non</w:t>
            </w:r>
            <w:r>
              <w:t>-</w:t>
            </w:r>
            <w:r w:rsidRPr="00645B2D">
              <w:t>homeless adolescents (32.2% vs 2.9), as were methamphetamine</w:t>
            </w:r>
            <w:r>
              <w:t xml:space="preserve"> </w:t>
            </w:r>
            <w:r w:rsidRPr="00645B2D">
              <w:t>use (36.0%</w:t>
            </w:r>
            <w:r>
              <w:t xml:space="preserve"> </w:t>
            </w:r>
            <w:r w:rsidRPr="00645B2D">
              <w:t>vs 3.0%</w:t>
            </w:r>
            <w:r>
              <w:t>)</w:t>
            </w:r>
            <w:r w:rsidRPr="00645B2D">
              <w:t>, heroin use (28.0% vs 1.3</w:t>
            </w:r>
            <w:r>
              <w:t>)</w:t>
            </w:r>
            <w:r w:rsidRPr="00645B2D">
              <w:t>, ecstasy use (32.9% vs 3.6%</w:t>
            </w:r>
            <w:r>
              <w:t>)</w:t>
            </w:r>
            <w:r w:rsidRPr="00645B2D">
              <w:t>, injection drug use (28.1% vs 2.4%</w:t>
            </w:r>
            <w:r>
              <w:t xml:space="preserve">) </w:t>
            </w:r>
            <w:r w:rsidRPr="00645B2D">
              <w:t xml:space="preserve">and prescription opioid misuse (31.3% vs 12.9%). </w:t>
            </w:r>
          </w:p>
        </w:tc>
        <w:tc>
          <w:tcPr>
            <w:tcW w:w="1834" w:type="dxa"/>
            <w:tcBorders>
              <w:top w:val="nil"/>
              <w:left w:val="nil"/>
              <w:bottom w:val="single" w:sz="4" w:space="0" w:color="auto"/>
              <w:right w:val="single" w:sz="4" w:space="0" w:color="auto"/>
            </w:tcBorders>
            <w:shd w:val="clear" w:color="auto" w:fill="auto"/>
            <w:hideMark/>
          </w:tcPr>
          <w:p w14:paraId="486CF899" w14:textId="77777777" w:rsidR="00C92EB7" w:rsidRPr="00645B2D" w:rsidRDefault="00C92EB7" w:rsidP="00A40DEB">
            <w:pPr>
              <w:rPr>
                <w:color w:val="000000"/>
              </w:rPr>
            </w:pPr>
            <w:r w:rsidRPr="0064441B">
              <w:rPr>
                <w:b/>
                <w:bCs/>
                <w:color w:val="000000"/>
              </w:rPr>
              <w:t>Risk Factors</w:t>
            </w:r>
            <w:r w:rsidRPr="00645B2D">
              <w:rPr>
                <w:color w:val="000000"/>
              </w:rPr>
              <w:t xml:space="preserve">: male, LGBTQ+, ethnic/racial minority </w:t>
            </w:r>
            <w:r w:rsidRPr="0064441B">
              <w:rPr>
                <w:b/>
                <w:bCs/>
                <w:color w:val="000000"/>
              </w:rPr>
              <w:t>Outcomes</w:t>
            </w:r>
            <w:r w:rsidRPr="00645B2D">
              <w:rPr>
                <w:color w:val="000000"/>
              </w:rPr>
              <w:t>: poor mental health, tobacco use disorder, alcohol use disorder, substance use disorder</w:t>
            </w:r>
          </w:p>
        </w:tc>
      </w:tr>
      <w:tr w:rsidR="00C92EB7" w:rsidRPr="00645B2D" w14:paraId="2ED8A667" w14:textId="77777777" w:rsidTr="00A40DEB">
        <w:trPr>
          <w:trHeight w:val="5360"/>
        </w:trPr>
        <w:tc>
          <w:tcPr>
            <w:tcW w:w="1401" w:type="dxa"/>
            <w:tcBorders>
              <w:top w:val="nil"/>
              <w:left w:val="single" w:sz="4" w:space="0" w:color="auto"/>
              <w:bottom w:val="single" w:sz="4" w:space="0" w:color="auto"/>
              <w:right w:val="single" w:sz="4" w:space="0" w:color="auto"/>
            </w:tcBorders>
            <w:shd w:val="clear" w:color="auto" w:fill="auto"/>
            <w:hideMark/>
          </w:tcPr>
          <w:p w14:paraId="2177CAF3" w14:textId="3B914680" w:rsidR="00C92EB7" w:rsidRPr="00645B2D" w:rsidRDefault="00C92EB7" w:rsidP="00A40DEB">
            <w:r w:rsidRPr="00645B2D">
              <w:lastRenderedPageBreak/>
              <w:t>LoSchiavo et al</w:t>
            </w:r>
            <w:r w:rsidR="00387D48">
              <w:rPr>
                <w:vertAlign w:val="superscript"/>
              </w:rPr>
              <w:t>29</w:t>
            </w:r>
          </w:p>
        </w:tc>
        <w:tc>
          <w:tcPr>
            <w:tcW w:w="1515" w:type="dxa"/>
            <w:tcBorders>
              <w:top w:val="nil"/>
              <w:left w:val="nil"/>
              <w:bottom w:val="single" w:sz="4" w:space="0" w:color="auto"/>
              <w:right w:val="single" w:sz="4" w:space="0" w:color="auto"/>
            </w:tcBorders>
            <w:shd w:val="clear" w:color="auto" w:fill="auto"/>
            <w:hideMark/>
          </w:tcPr>
          <w:p w14:paraId="0BB18992" w14:textId="77777777" w:rsidR="00C92EB7" w:rsidRPr="00645B2D" w:rsidRDefault="00C92EB7" w:rsidP="00A40DEB">
            <w:r>
              <w:t>A</w:t>
            </w:r>
            <w:r w:rsidRPr="00645B2D">
              <w:t>ges 19-23</w:t>
            </w:r>
          </w:p>
        </w:tc>
        <w:tc>
          <w:tcPr>
            <w:tcW w:w="1995" w:type="dxa"/>
            <w:tcBorders>
              <w:top w:val="nil"/>
              <w:left w:val="nil"/>
              <w:bottom w:val="single" w:sz="4" w:space="0" w:color="auto"/>
              <w:right w:val="single" w:sz="4" w:space="0" w:color="auto"/>
            </w:tcBorders>
            <w:shd w:val="clear" w:color="auto" w:fill="auto"/>
            <w:hideMark/>
          </w:tcPr>
          <w:p w14:paraId="34F76FD8" w14:textId="77777777" w:rsidR="00C92EB7" w:rsidRPr="00645B2D" w:rsidRDefault="00C92EB7" w:rsidP="00A40DEB">
            <w:r>
              <w:t>C</w:t>
            </w:r>
            <w:r w:rsidRPr="00645B2D">
              <w:t>ity/</w:t>
            </w:r>
            <w:r>
              <w:t>M</w:t>
            </w:r>
            <w:r w:rsidRPr="00645B2D">
              <w:t>etropolitan (</w:t>
            </w:r>
            <w:proofErr w:type="gramStart"/>
            <w:r w:rsidRPr="00645B2D">
              <w:t>NYC,NY</w:t>
            </w:r>
            <w:proofErr w:type="gramEnd"/>
            <w:r w:rsidRPr="00645B2D">
              <w:t>)</w:t>
            </w:r>
          </w:p>
        </w:tc>
        <w:tc>
          <w:tcPr>
            <w:tcW w:w="1620" w:type="dxa"/>
            <w:tcBorders>
              <w:top w:val="nil"/>
              <w:left w:val="nil"/>
              <w:bottom w:val="single" w:sz="4" w:space="0" w:color="auto"/>
              <w:right w:val="single" w:sz="4" w:space="0" w:color="auto"/>
            </w:tcBorders>
            <w:shd w:val="clear" w:color="auto" w:fill="auto"/>
            <w:hideMark/>
          </w:tcPr>
          <w:p w14:paraId="138A8817" w14:textId="77777777" w:rsidR="00C92EB7" w:rsidRPr="00645B2D" w:rsidRDefault="00C92EB7" w:rsidP="00A40DEB">
            <w:r>
              <w:t>C</w:t>
            </w:r>
            <w:r w:rsidRPr="00645B2D">
              <w:t>ross</w:t>
            </w:r>
            <w:r>
              <w:t>-</w:t>
            </w:r>
            <w:r w:rsidRPr="00645B2D">
              <w:t xml:space="preserve"> sectional</w:t>
            </w:r>
          </w:p>
        </w:tc>
        <w:tc>
          <w:tcPr>
            <w:tcW w:w="2070" w:type="dxa"/>
            <w:tcBorders>
              <w:top w:val="nil"/>
              <w:left w:val="nil"/>
              <w:bottom w:val="single" w:sz="4" w:space="0" w:color="auto"/>
              <w:right w:val="single" w:sz="4" w:space="0" w:color="auto"/>
            </w:tcBorders>
            <w:shd w:val="clear" w:color="auto" w:fill="auto"/>
            <w:hideMark/>
          </w:tcPr>
          <w:p w14:paraId="44938CEF" w14:textId="77777777" w:rsidR="00C92EB7" w:rsidRPr="00645B2D" w:rsidRDefault="00C92EB7" w:rsidP="00A40DEB">
            <w:r w:rsidRPr="00645B2D">
              <w:t>Examine the intersectionality of housing Instability and Psychosocial, Mental, and Physical Health in Sexual Minority Young Adults</w:t>
            </w:r>
          </w:p>
        </w:tc>
        <w:tc>
          <w:tcPr>
            <w:tcW w:w="2700" w:type="dxa"/>
            <w:tcBorders>
              <w:top w:val="nil"/>
              <w:left w:val="nil"/>
              <w:bottom w:val="single" w:sz="4" w:space="0" w:color="auto"/>
              <w:right w:val="single" w:sz="4" w:space="0" w:color="auto"/>
            </w:tcBorders>
            <w:shd w:val="clear" w:color="auto" w:fill="auto"/>
            <w:hideMark/>
          </w:tcPr>
          <w:p w14:paraId="6B92779A" w14:textId="77777777" w:rsidR="00C92EB7" w:rsidRPr="00645B2D" w:rsidRDefault="00C92EB7" w:rsidP="00A40DEB">
            <w:r w:rsidRPr="00645B2D">
              <w:t xml:space="preserve">Most participants did not report clinically significant levels of depression (63.6%, 423), anxiety (69.8%, n = 464), or PTSD (89.6%, n = 596). About a quarter of participants rated their health as less than very good (26.2%, n = 174), with the rest reporting their health as very good or excellent (73.4%, n = 488).  Housing status was significantly associated with gender (p&lt;.001), education (p&lt;.001), income (p&lt;.001), depression (p&lt;.05), </w:t>
            </w:r>
            <w:r>
              <w:t xml:space="preserve">and </w:t>
            </w:r>
            <w:r w:rsidRPr="00645B2D">
              <w:t xml:space="preserve">poor </w:t>
            </w:r>
            <w:proofErr w:type="spellStart"/>
            <w:proofErr w:type="gramStart"/>
            <w:r w:rsidRPr="00645B2D">
              <w:t>self rated</w:t>
            </w:r>
            <w:proofErr w:type="spellEnd"/>
            <w:proofErr w:type="gramEnd"/>
            <w:r w:rsidRPr="00645B2D">
              <w:t xml:space="preserve"> health (p&lt;.05).</w:t>
            </w:r>
          </w:p>
        </w:tc>
        <w:tc>
          <w:tcPr>
            <w:tcW w:w="1834" w:type="dxa"/>
            <w:tcBorders>
              <w:top w:val="nil"/>
              <w:left w:val="nil"/>
              <w:bottom w:val="single" w:sz="4" w:space="0" w:color="auto"/>
              <w:right w:val="single" w:sz="4" w:space="0" w:color="auto"/>
            </w:tcBorders>
            <w:shd w:val="clear" w:color="auto" w:fill="auto"/>
            <w:hideMark/>
          </w:tcPr>
          <w:p w14:paraId="6D03336C" w14:textId="77777777" w:rsidR="00C92EB7" w:rsidRPr="00645B2D" w:rsidRDefault="00C92EB7" w:rsidP="00A40DEB">
            <w:pPr>
              <w:rPr>
                <w:color w:val="000000"/>
              </w:rPr>
            </w:pPr>
            <w:r w:rsidRPr="00904AB7">
              <w:rPr>
                <w:b/>
                <w:bCs/>
                <w:color w:val="000000"/>
              </w:rPr>
              <w:t>Risk Factors</w:t>
            </w:r>
            <w:r w:rsidRPr="00645B2D">
              <w:rPr>
                <w:color w:val="000000"/>
              </w:rPr>
              <w:t xml:space="preserve">: LGBTQ+, ethnic/racial minority, poor mental health, financial instability, low educational attainment, physical abuse/violence, delinquent/criminal behavior; judicial interactions, lack of meeting basic needs, history of housing instability/homelessness, familial </w:t>
            </w:r>
            <w:proofErr w:type="gramStart"/>
            <w:r w:rsidRPr="00645B2D">
              <w:rPr>
                <w:color w:val="000000"/>
              </w:rPr>
              <w:t xml:space="preserve">rejection  </w:t>
            </w:r>
            <w:r w:rsidRPr="00904AB7">
              <w:rPr>
                <w:b/>
                <w:bCs/>
                <w:color w:val="000000"/>
              </w:rPr>
              <w:t>Outcome</w:t>
            </w:r>
            <w:r>
              <w:rPr>
                <w:b/>
                <w:bCs/>
                <w:color w:val="000000"/>
              </w:rPr>
              <w:t>s</w:t>
            </w:r>
            <w:proofErr w:type="gramEnd"/>
            <w:r w:rsidRPr="00645B2D">
              <w:rPr>
                <w:color w:val="000000"/>
              </w:rPr>
              <w:t>: poor mental health, poor physical health, substance use disorder, sexual abuse/violence, lack of social support</w:t>
            </w:r>
          </w:p>
        </w:tc>
      </w:tr>
      <w:tr w:rsidR="00C92EB7" w:rsidRPr="00645B2D" w14:paraId="73B1E192" w14:textId="77777777" w:rsidTr="00A40DEB">
        <w:trPr>
          <w:trHeight w:val="8180"/>
        </w:trPr>
        <w:tc>
          <w:tcPr>
            <w:tcW w:w="1401" w:type="dxa"/>
            <w:tcBorders>
              <w:top w:val="nil"/>
              <w:left w:val="single" w:sz="4" w:space="0" w:color="auto"/>
              <w:bottom w:val="single" w:sz="4" w:space="0" w:color="auto"/>
              <w:right w:val="single" w:sz="4" w:space="0" w:color="auto"/>
            </w:tcBorders>
            <w:shd w:val="clear" w:color="auto" w:fill="auto"/>
            <w:hideMark/>
          </w:tcPr>
          <w:p w14:paraId="4874941C" w14:textId="7554A8AA" w:rsidR="00C92EB7" w:rsidRPr="00645B2D" w:rsidRDefault="00C92EB7" w:rsidP="00A40DEB">
            <w:r w:rsidRPr="00645B2D">
              <w:lastRenderedPageBreak/>
              <w:t>McKinnon et al</w:t>
            </w:r>
            <w:r w:rsidRPr="00645B2D">
              <w:rPr>
                <w:vertAlign w:val="superscript"/>
              </w:rPr>
              <w:t>3</w:t>
            </w:r>
            <w:r w:rsidR="00387D48">
              <w:rPr>
                <w:vertAlign w:val="superscript"/>
              </w:rPr>
              <w:t>0</w:t>
            </w:r>
          </w:p>
        </w:tc>
        <w:tc>
          <w:tcPr>
            <w:tcW w:w="1515" w:type="dxa"/>
            <w:tcBorders>
              <w:top w:val="nil"/>
              <w:left w:val="nil"/>
              <w:bottom w:val="single" w:sz="4" w:space="0" w:color="auto"/>
              <w:right w:val="single" w:sz="4" w:space="0" w:color="auto"/>
            </w:tcBorders>
            <w:shd w:val="clear" w:color="auto" w:fill="auto"/>
            <w:noWrap/>
            <w:hideMark/>
          </w:tcPr>
          <w:p w14:paraId="3B62D615" w14:textId="77777777" w:rsidR="00C92EB7" w:rsidRPr="00645B2D" w:rsidRDefault="00C92EB7" w:rsidP="00A40DEB">
            <w:r>
              <w:t>G</w:t>
            </w:r>
            <w:r w:rsidRPr="00645B2D">
              <w:t xml:space="preserve">rades 9-12 </w:t>
            </w:r>
          </w:p>
        </w:tc>
        <w:tc>
          <w:tcPr>
            <w:tcW w:w="1995" w:type="dxa"/>
            <w:tcBorders>
              <w:top w:val="nil"/>
              <w:left w:val="nil"/>
              <w:bottom w:val="single" w:sz="4" w:space="0" w:color="auto"/>
              <w:right w:val="single" w:sz="4" w:space="0" w:color="auto"/>
            </w:tcBorders>
            <w:shd w:val="clear" w:color="auto" w:fill="auto"/>
            <w:noWrap/>
            <w:hideMark/>
          </w:tcPr>
          <w:p w14:paraId="59BBAA49" w14:textId="77777777" w:rsidR="00C92EB7" w:rsidRPr="00645B2D" w:rsidRDefault="00C92EB7" w:rsidP="00A40DEB">
            <w:r w:rsidRPr="00645B2D">
              <w:t>National (US)</w:t>
            </w:r>
          </w:p>
        </w:tc>
        <w:tc>
          <w:tcPr>
            <w:tcW w:w="1620" w:type="dxa"/>
            <w:tcBorders>
              <w:top w:val="nil"/>
              <w:left w:val="nil"/>
              <w:bottom w:val="single" w:sz="4" w:space="0" w:color="auto"/>
              <w:right w:val="single" w:sz="4" w:space="0" w:color="auto"/>
            </w:tcBorders>
            <w:shd w:val="clear" w:color="auto" w:fill="auto"/>
            <w:noWrap/>
            <w:hideMark/>
          </w:tcPr>
          <w:p w14:paraId="0F809760" w14:textId="77777777" w:rsidR="00C92EB7" w:rsidRPr="00645B2D" w:rsidRDefault="00C92EB7" w:rsidP="00A40DEB">
            <w:r>
              <w:t>C</w:t>
            </w:r>
            <w:r w:rsidRPr="00645B2D">
              <w:t>ross</w:t>
            </w:r>
            <w:r>
              <w:t>-</w:t>
            </w:r>
            <w:r w:rsidRPr="00645B2D">
              <w:t xml:space="preserve"> sectional</w:t>
            </w:r>
          </w:p>
        </w:tc>
        <w:tc>
          <w:tcPr>
            <w:tcW w:w="2070" w:type="dxa"/>
            <w:tcBorders>
              <w:top w:val="nil"/>
              <w:left w:val="nil"/>
              <w:bottom w:val="single" w:sz="4" w:space="0" w:color="auto"/>
              <w:right w:val="single" w:sz="4" w:space="0" w:color="auto"/>
            </w:tcBorders>
            <w:shd w:val="clear" w:color="auto" w:fill="auto"/>
            <w:hideMark/>
          </w:tcPr>
          <w:p w14:paraId="533C0415" w14:textId="77777777" w:rsidR="00C92EB7" w:rsidRPr="00645B2D" w:rsidRDefault="00C92EB7" w:rsidP="00A40DEB">
            <w:r w:rsidRPr="00645B2D">
              <w:t>Investigate disparities in housing stability as it relates to negative risk behaviors and poor health outcomes</w:t>
            </w:r>
          </w:p>
        </w:tc>
        <w:tc>
          <w:tcPr>
            <w:tcW w:w="2700" w:type="dxa"/>
            <w:tcBorders>
              <w:top w:val="nil"/>
              <w:left w:val="nil"/>
              <w:bottom w:val="single" w:sz="4" w:space="0" w:color="auto"/>
              <w:right w:val="single" w:sz="4" w:space="0" w:color="auto"/>
            </w:tcBorders>
            <w:shd w:val="clear" w:color="auto" w:fill="auto"/>
            <w:hideMark/>
          </w:tcPr>
          <w:p w14:paraId="40757B09" w14:textId="77777777" w:rsidR="00C92EB7" w:rsidRPr="00645B2D" w:rsidRDefault="00C92EB7" w:rsidP="00A40DEB">
            <w:r w:rsidRPr="00645B2D">
              <w:t xml:space="preserve">Unstably vs. stably housed were more likely to have misused prescription opioids (36.4% versus 11.7%), used illicit drugs (41.7% versus 12.7%), injected any illegal drug (22.5% versus 0.9%). Prevalence of those not tested for sexually transmitted diseases (STDs) in the past year or who had never been tested for HIV among unstably housed was lower (81.2% and 81.4%) compared with those with stable housing (95.2% and 94.7%). Prevalence of sexual and physical dating violence &amp; sexual violence by anyone in the past year by housing stability status; 28.5% of students who were unstably housed experienced sexual dating violence, 31.9% experienced physical dating violence, and 27.6% experienced sexual violence by </w:t>
            </w:r>
            <w:r w:rsidRPr="00645B2D">
              <w:lastRenderedPageBreak/>
              <w:t xml:space="preserve">anyone, compared with 9.3%, 7.7%, and 10.6% among those who experienced stable housing, respectively.  Prevalence of persistent feelings of sadness or hopelessness in the past year by those with unstable housing (56.8%) vs. those stably housed (42.6%). Students who experienced unstable housing were nearly twice as likely to have seriously considered suicide or made a suicide plan during the past year, and more than three times as likely to have attempted suicide during the past year.  </w:t>
            </w:r>
          </w:p>
        </w:tc>
        <w:tc>
          <w:tcPr>
            <w:tcW w:w="1834" w:type="dxa"/>
            <w:tcBorders>
              <w:top w:val="nil"/>
              <w:left w:val="nil"/>
              <w:bottom w:val="single" w:sz="4" w:space="0" w:color="auto"/>
              <w:right w:val="single" w:sz="4" w:space="0" w:color="auto"/>
            </w:tcBorders>
            <w:shd w:val="clear" w:color="auto" w:fill="auto"/>
            <w:hideMark/>
          </w:tcPr>
          <w:p w14:paraId="75FDE733" w14:textId="77777777" w:rsidR="00C92EB7" w:rsidRDefault="00C92EB7" w:rsidP="00A40DEB">
            <w:pPr>
              <w:rPr>
                <w:color w:val="000000"/>
              </w:rPr>
            </w:pPr>
            <w:r w:rsidRPr="00096BD7">
              <w:rPr>
                <w:b/>
                <w:bCs/>
                <w:color w:val="000000"/>
              </w:rPr>
              <w:lastRenderedPageBreak/>
              <w:t>Risk Factors</w:t>
            </w:r>
            <w:r w:rsidRPr="00645B2D">
              <w:rPr>
                <w:color w:val="000000"/>
              </w:rPr>
              <w:t xml:space="preserve">: LGBTQ+, familial rejection, ethnic/racial minority, older age </w:t>
            </w:r>
          </w:p>
          <w:p w14:paraId="289B950D" w14:textId="77777777" w:rsidR="00C92EB7" w:rsidRPr="00645B2D" w:rsidRDefault="00C92EB7" w:rsidP="00A40DEB">
            <w:pPr>
              <w:rPr>
                <w:color w:val="000000"/>
              </w:rPr>
            </w:pPr>
            <w:r w:rsidRPr="00096BD7">
              <w:rPr>
                <w:b/>
                <w:bCs/>
                <w:color w:val="000000"/>
              </w:rPr>
              <w:t>Outcomes</w:t>
            </w:r>
            <w:r w:rsidRPr="00645B2D">
              <w:rPr>
                <w:color w:val="000000"/>
              </w:rPr>
              <w:t>: alcohol use disorder, substance use disorder, sexual transmitted diseases, sexual abuse/violence, physical abuse/violence, poor mental health, high risk sexual behaviors</w:t>
            </w:r>
          </w:p>
        </w:tc>
      </w:tr>
      <w:tr w:rsidR="00C92EB7" w:rsidRPr="00645B2D" w14:paraId="148F6C84" w14:textId="77777777" w:rsidTr="00A40DEB">
        <w:trPr>
          <w:trHeight w:val="4660"/>
        </w:trPr>
        <w:tc>
          <w:tcPr>
            <w:tcW w:w="1401" w:type="dxa"/>
            <w:tcBorders>
              <w:top w:val="nil"/>
              <w:left w:val="single" w:sz="4" w:space="0" w:color="auto"/>
              <w:bottom w:val="single" w:sz="4" w:space="0" w:color="auto"/>
              <w:right w:val="single" w:sz="4" w:space="0" w:color="auto"/>
            </w:tcBorders>
            <w:shd w:val="clear" w:color="auto" w:fill="auto"/>
            <w:hideMark/>
          </w:tcPr>
          <w:p w14:paraId="0A2793AE" w14:textId="24513B52" w:rsidR="00C92EB7" w:rsidRPr="00645B2D" w:rsidRDefault="00C92EB7" w:rsidP="00A40DEB">
            <w:r w:rsidRPr="00645B2D">
              <w:lastRenderedPageBreak/>
              <w:t>Moss et al</w:t>
            </w:r>
            <w:r w:rsidRPr="00645B2D">
              <w:rPr>
                <w:vertAlign w:val="superscript"/>
              </w:rPr>
              <w:t>3</w:t>
            </w:r>
            <w:r w:rsidR="00387D48">
              <w:rPr>
                <w:vertAlign w:val="superscript"/>
              </w:rPr>
              <w:t>1</w:t>
            </w:r>
          </w:p>
        </w:tc>
        <w:tc>
          <w:tcPr>
            <w:tcW w:w="1515" w:type="dxa"/>
            <w:tcBorders>
              <w:top w:val="nil"/>
              <w:left w:val="nil"/>
              <w:bottom w:val="single" w:sz="4" w:space="0" w:color="auto"/>
              <w:right w:val="single" w:sz="4" w:space="0" w:color="auto"/>
            </w:tcBorders>
            <w:shd w:val="clear" w:color="auto" w:fill="auto"/>
            <w:hideMark/>
          </w:tcPr>
          <w:p w14:paraId="2B593495" w14:textId="77777777" w:rsidR="00C92EB7" w:rsidRPr="00645B2D" w:rsidRDefault="00C92EB7" w:rsidP="00A40DEB">
            <w:r>
              <w:t>G</w:t>
            </w:r>
            <w:r w:rsidRPr="00645B2D">
              <w:t xml:space="preserve">rades 7-12  </w:t>
            </w:r>
          </w:p>
        </w:tc>
        <w:tc>
          <w:tcPr>
            <w:tcW w:w="1995" w:type="dxa"/>
            <w:tcBorders>
              <w:top w:val="nil"/>
              <w:left w:val="nil"/>
              <w:bottom w:val="single" w:sz="4" w:space="0" w:color="auto"/>
              <w:right w:val="single" w:sz="4" w:space="0" w:color="auto"/>
            </w:tcBorders>
            <w:shd w:val="clear" w:color="auto" w:fill="auto"/>
            <w:hideMark/>
          </w:tcPr>
          <w:p w14:paraId="1842FEB7" w14:textId="77777777" w:rsidR="00C92EB7" w:rsidRPr="00645B2D" w:rsidRDefault="00C92EB7" w:rsidP="00A40DEB">
            <w:r w:rsidRPr="00645B2D">
              <w:t>National (US)</w:t>
            </w:r>
          </w:p>
        </w:tc>
        <w:tc>
          <w:tcPr>
            <w:tcW w:w="1620" w:type="dxa"/>
            <w:tcBorders>
              <w:top w:val="nil"/>
              <w:left w:val="nil"/>
              <w:bottom w:val="single" w:sz="4" w:space="0" w:color="auto"/>
              <w:right w:val="single" w:sz="4" w:space="0" w:color="auto"/>
            </w:tcBorders>
            <w:shd w:val="clear" w:color="auto" w:fill="auto"/>
            <w:hideMark/>
          </w:tcPr>
          <w:p w14:paraId="5D326A00" w14:textId="77777777" w:rsidR="00C92EB7" w:rsidRPr="00645B2D" w:rsidRDefault="00C92EB7" w:rsidP="00A40DEB">
            <w:r>
              <w:t>L</w:t>
            </w:r>
            <w:r w:rsidRPr="00645B2D">
              <w:t>ongitudinal</w:t>
            </w:r>
          </w:p>
        </w:tc>
        <w:tc>
          <w:tcPr>
            <w:tcW w:w="2070" w:type="dxa"/>
            <w:tcBorders>
              <w:top w:val="nil"/>
              <w:left w:val="nil"/>
              <w:bottom w:val="single" w:sz="4" w:space="0" w:color="auto"/>
              <w:right w:val="single" w:sz="4" w:space="0" w:color="auto"/>
            </w:tcBorders>
            <w:shd w:val="clear" w:color="auto" w:fill="auto"/>
            <w:hideMark/>
          </w:tcPr>
          <w:p w14:paraId="721972B0" w14:textId="77777777" w:rsidR="00C92EB7" w:rsidRPr="00645B2D" w:rsidRDefault="00C92EB7" w:rsidP="00A40DEB">
            <w:r w:rsidRPr="00645B2D">
              <w:t>Examine impact of homelessness, foster care, and ACE prior to 12th grade on development of substance abuse disorders later in life.</w:t>
            </w:r>
          </w:p>
        </w:tc>
        <w:tc>
          <w:tcPr>
            <w:tcW w:w="2700" w:type="dxa"/>
            <w:tcBorders>
              <w:top w:val="nil"/>
              <w:left w:val="nil"/>
              <w:bottom w:val="single" w:sz="4" w:space="0" w:color="auto"/>
              <w:right w:val="single" w:sz="4" w:space="0" w:color="auto"/>
            </w:tcBorders>
            <w:shd w:val="clear" w:color="auto" w:fill="auto"/>
            <w:hideMark/>
          </w:tcPr>
          <w:p w14:paraId="5551D155" w14:textId="77777777" w:rsidR="00C92EB7" w:rsidRPr="00645B2D" w:rsidRDefault="00C92EB7" w:rsidP="00A40DEB">
            <w:r w:rsidRPr="00645B2D">
              <w:t xml:space="preserve">Those with education beyond high school were less likely to have experienced homelessness (p&lt;0.0001), compared to their peers who did not have post-secondary education.  The risk for “severe” alcohol use disorder trended towards an association with homelessness (p = 0.0003).  </w:t>
            </w:r>
            <w:r w:rsidRPr="00645B2D">
              <w:br w:type="page"/>
            </w:r>
          </w:p>
        </w:tc>
        <w:tc>
          <w:tcPr>
            <w:tcW w:w="1834" w:type="dxa"/>
            <w:tcBorders>
              <w:top w:val="nil"/>
              <w:left w:val="nil"/>
              <w:bottom w:val="single" w:sz="4" w:space="0" w:color="auto"/>
              <w:right w:val="single" w:sz="4" w:space="0" w:color="auto"/>
            </w:tcBorders>
            <w:shd w:val="clear" w:color="auto" w:fill="auto"/>
            <w:hideMark/>
          </w:tcPr>
          <w:p w14:paraId="3ED88C69" w14:textId="77777777" w:rsidR="00C92EB7" w:rsidRPr="00645B2D" w:rsidRDefault="00C92EB7" w:rsidP="00A40DEB">
            <w:pPr>
              <w:rPr>
                <w:color w:val="000000"/>
              </w:rPr>
            </w:pPr>
            <w:r w:rsidRPr="00096BD7">
              <w:rPr>
                <w:b/>
                <w:bCs/>
                <w:color w:val="000000"/>
              </w:rPr>
              <w:t>Risk Factors</w:t>
            </w:r>
            <w:r w:rsidRPr="00645B2D">
              <w:rPr>
                <w:color w:val="000000"/>
              </w:rPr>
              <w:t xml:space="preserve">: low educational attainment, history of housing instability/homelessness, ethnic/racial minority, male, household substance use, alcohol use, delinquent/criminal behavior; judicial interactions, physical abuse/violence, poor mental health, sexual abuse/violence </w:t>
            </w:r>
            <w:r w:rsidRPr="00096BD7">
              <w:rPr>
                <w:b/>
                <w:bCs/>
                <w:color w:val="000000"/>
              </w:rPr>
              <w:t>Outcome</w:t>
            </w:r>
            <w:r>
              <w:rPr>
                <w:b/>
                <w:bCs/>
                <w:color w:val="000000"/>
              </w:rPr>
              <w:t>s</w:t>
            </w:r>
            <w:r w:rsidRPr="00645B2D">
              <w:rPr>
                <w:color w:val="000000"/>
              </w:rPr>
              <w:t xml:space="preserve">: substance use </w:t>
            </w:r>
            <w:proofErr w:type="spellStart"/>
            <w:r w:rsidRPr="00645B2D">
              <w:rPr>
                <w:color w:val="000000"/>
              </w:rPr>
              <w:t>diosrder</w:t>
            </w:r>
            <w:proofErr w:type="spellEnd"/>
            <w:r w:rsidRPr="00645B2D">
              <w:rPr>
                <w:color w:val="000000"/>
              </w:rPr>
              <w:t>, alcohol use disorder, tobacco use disorder</w:t>
            </w:r>
          </w:p>
        </w:tc>
      </w:tr>
      <w:tr w:rsidR="00C92EB7" w:rsidRPr="00645B2D" w14:paraId="168C8CAC" w14:textId="77777777" w:rsidTr="00A40DEB">
        <w:trPr>
          <w:trHeight w:val="4400"/>
        </w:trPr>
        <w:tc>
          <w:tcPr>
            <w:tcW w:w="1401" w:type="dxa"/>
            <w:tcBorders>
              <w:top w:val="nil"/>
              <w:left w:val="single" w:sz="4" w:space="0" w:color="auto"/>
              <w:bottom w:val="single" w:sz="4" w:space="0" w:color="auto"/>
              <w:right w:val="single" w:sz="4" w:space="0" w:color="auto"/>
            </w:tcBorders>
            <w:shd w:val="clear" w:color="auto" w:fill="auto"/>
            <w:hideMark/>
          </w:tcPr>
          <w:p w14:paraId="5D42CBA8" w14:textId="2F592177" w:rsidR="00C92EB7" w:rsidRPr="00645B2D" w:rsidRDefault="00C92EB7" w:rsidP="00A40DEB">
            <w:proofErr w:type="spellStart"/>
            <w:r w:rsidRPr="00645B2D">
              <w:lastRenderedPageBreak/>
              <w:t>Nakphong</w:t>
            </w:r>
            <w:proofErr w:type="spellEnd"/>
            <w:r w:rsidRPr="00645B2D">
              <w:t xml:space="preserve"> et al</w:t>
            </w:r>
            <w:r w:rsidRPr="00645B2D">
              <w:rPr>
                <w:vertAlign w:val="superscript"/>
              </w:rPr>
              <w:t>3</w:t>
            </w:r>
            <w:r w:rsidR="00387D48">
              <w:rPr>
                <w:vertAlign w:val="superscript"/>
              </w:rPr>
              <w:t>2</w:t>
            </w:r>
          </w:p>
        </w:tc>
        <w:tc>
          <w:tcPr>
            <w:tcW w:w="1515" w:type="dxa"/>
            <w:tcBorders>
              <w:top w:val="nil"/>
              <w:left w:val="nil"/>
              <w:bottom w:val="single" w:sz="4" w:space="0" w:color="auto"/>
              <w:right w:val="single" w:sz="4" w:space="0" w:color="auto"/>
            </w:tcBorders>
            <w:shd w:val="clear" w:color="auto" w:fill="auto"/>
            <w:hideMark/>
          </w:tcPr>
          <w:p w14:paraId="668BE5B6" w14:textId="77777777" w:rsidR="00C92EB7" w:rsidRPr="00645B2D" w:rsidRDefault="00C92EB7" w:rsidP="00A40DEB">
            <w:r>
              <w:t>A</w:t>
            </w:r>
            <w:r w:rsidRPr="00645B2D">
              <w:t xml:space="preserve">ges 18-24 </w:t>
            </w:r>
          </w:p>
        </w:tc>
        <w:tc>
          <w:tcPr>
            <w:tcW w:w="1995" w:type="dxa"/>
            <w:tcBorders>
              <w:top w:val="nil"/>
              <w:left w:val="nil"/>
              <w:bottom w:val="single" w:sz="4" w:space="0" w:color="auto"/>
              <w:right w:val="single" w:sz="4" w:space="0" w:color="auto"/>
            </w:tcBorders>
            <w:shd w:val="clear" w:color="auto" w:fill="auto"/>
            <w:hideMark/>
          </w:tcPr>
          <w:p w14:paraId="1FF876B9" w14:textId="77777777" w:rsidR="00C92EB7" w:rsidRPr="00645B2D" w:rsidRDefault="00C92EB7" w:rsidP="00A40DEB">
            <w:r w:rsidRPr="00645B2D">
              <w:t>Multiple</w:t>
            </w:r>
            <w:r>
              <w:t xml:space="preserve"> Locations, Within US</w:t>
            </w:r>
            <w:r w:rsidRPr="00645B2D">
              <w:t xml:space="preserve"> (San Francisco, CA; Oakland, CA)</w:t>
            </w:r>
          </w:p>
        </w:tc>
        <w:tc>
          <w:tcPr>
            <w:tcW w:w="1620" w:type="dxa"/>
            <w:tcBorders>
              <w:top w:val="nil"/>
              <w:left w:val="nil"/>
              <w:bottom w:val="single" w:sz="4" w:space="0" w:color="auto"/>
              <w:right w:val="single" w:sz="4" w:space="0" w:color="auto"/>
            </w:tcBorders>
            <w:shd w:val="clear" w:color="auto" w:fill="auto"/>
            <w:hideMark/>
          </w:tcPr>
          <w:p w14:paraId="19EF5780" w14:textId="77777777" w:rsidR="00C92EB7" w:rsidRPr="00645B2D" w:rsidRDefault="00C92EB7" w:rsidP="00A40DEB">
            <w:r w:rsidRPr="00645B2D">
              <w:t>Cross</w:t>
            </w:r>
            <w:r>
              <w:t>-</w:t>
            </w:r>
            <w:r w:rsidRPr="00645B2D">
              <w:t xml:space="preserve"> sectional</w:t>
            </w:r>
          </w:p>
        </w:tc>
        <w:tc>
          <w:tcPr>
            <w:tcW w:w="2070" w:type="dxa"/>
            <w:tcBorders>
              <w:top w:val="nil"/>
              <w:left w:val="nil"/>
              <w:bottom w:val="single" w:sz="4" w:space="0" w:color="auto"/>
              <w:right w:val="single" w:sz="4" w:space="0" w:color="auto"/>
            </w:tcBorders>
            <w:shd w:val="clear" w:color="auto" w:fill="auto"/>
            <w:hideMark/>
          </w:tcPr>
          <w:p w14:paraId="0DFC7722" w14:textId="77777777" w:rsidR="00C92EB7" w:rsidRPr="00645B2D" w:rsidRDefault="00C92EB7" w:rsidP="00A40DEB">
            <w:r w:rsidRPr="00645B2D">
              <w:t>Examine the multiple forms of housing instability that Black young adults contend with and examine relationships between housing instability and mental health outcomes.</w:t>
            </w:r>
          </w:p>
        </w:tc>
        <w:tc>
          <w:tcPr>
            <w:tcW w:w="2700" w:type="dxa"/>
            <w:tcBorders>
              <w:top w:val="nil"/>
              <w:left w:val="nil"/>
              <w:bottom w:val="single" w:sz="4" w:space="0" w:color="auto"/>
              <w:right w:val="single" w:sz="4" w:space="0" w:color="auto"/>
            </w:tcBorders>
            <w:shd w:val="clear" w:color="auto" w:fill="auto"/>
            <w:hideMark/>
          </w:tcPr>
          <w:p w14:paraId="29731E95" w14:textId="77777777" w:rsidR="00C92EB7" w:rsidRPr="00645B2D" w:rsidRDefault="00C92EB7" w:rsidP="00A40DEB">
            <w:r w:rsidRPr="00645B2D">
              <w:t xml:space="preserve">27.3% of participants reported </w:t>
            </w:r>
            <w:proofErr w:type="gramStart"/>
            <w:r w:rsidRPr="00645B2D">
              <w:t>experiences of homelessness</w:t>
            </w:r>
            <w:proofErr w:type="gramEnd"/>
            <w:r w:rsidRPr="00645B2D">
              <w:t xml:space="preserve"> in the prior year and 39.0% of participants reported multiple risk factors of housing instability. Those experiencing unaffordable and overcrowded housing and being mainly unhoused were more than four times as likely to have symptoms of depression (Unaffordable: </w:t>
            </w:r>
            <w:r>
              <w:t>adjusted odds ratio (</w:t>
            </w:r>
            <w:proofErr w:type="spellStart"/>
            <w:r w:rsidRPr="00645B2D">
              <w:t>aOR</w:t>
            </w:r>
            <w:proofErr w:type="spellEnd"/>
            <w:r>
              <w:t>)</w:t>
            </w:r>
            <w:r w:rsidRPr="00645B2D">
              <w:t xml:space="preserve"> = 4.57; Unhoused: </w:t>
            </w:r>
            <w:proofErr w:type="spellStart"/>
            <w:r w:rsidRPr="00645B2D">
              <w:t>aOR</w:t>
            </w:r>
            <w:proofErr w:type="spellEnd"/>
            <w:r w:rsidRPr="00645B2D">
              <w:t xml:space="preserve"> = 4.67) and more than twice as likely to report anxiety (Unaffordable: </w:t>
            </w:r>
            <w:proofErr w:type="spellStart"/>
            <w:r w:rsidRPr="00645B2D">
              <w:t>aOR</w:t>
            </w:r>
            <w:proofErr w:type="spellEnd"/>
            <w:r w:rsidRPr="00645B2D">
              <w:t xml:space="preserve"> = 2.28; Unhoused: </w:t>
            </w:r>
            <w:proofErr w:type="spellStart"/>
            <w:r w:rsidRPr="00645B2D">
              <w:t>aOR</w:t>
            </w:r>
            <w:proofErr w:type="spellEnd"/>
            <w:r w:rsidRPr="00645B2D">
              <w:t xml:space="preserve"> = 3.36) compared to the more stably housed pattern.</w:t>
            </w:r>
          </w:p>
        </w:tc>
        <w:tc>
          <w:tcPr>
            <w:tcW w:w="1834" w:type="dxa"/>
            <w:tcBorders>
              <w:top w:val="nil"/>
              <w:left w:val="nil"/>
              <w:bottom w:val="single" w:sz="4" w:space="0" w:color="auto"/>
              <w:right w:val="single" w:sz="4" w:space="0" w:color="auto"/>
            </w:tcBorders>
            <w:shd w:val="clear" w:color="auto" w:fill="auto"/>
            <w:hideMark/>
          </w:tcPr>
          <w:p w14:paraId="4068FBB1" w14:textId="77777777" w:rsidR="00C92EB7" w:rsidRPr="00645B2D" w:rsidRDefault="00C92EB7" w:rsidP="00A40DEB">
            <w:pPr>
              <w:rPr>
                <w:color w:val="000000"/>
              </w:rPr>
            </w:pPr>
            <w:r w:rsidRPr="00096BD7">
              <w:rPr>
                <w:b/>
                <w:bCs/>
                <w:color w:val="000000"/>
              </w:rPr>
              <w:t>Risks Factors</w:t>
            </w:r>
            <w:r w:rsidRPr="00645B2D">
              <w:rPr>
                <w:color w:val="000000"/>
              </w:rPr>
              <w:t xml:space="preserve">: ethnic/racial minority, low education attainment, employment instability, financial instability, history of housing instability </w:t>
            </w:r>
            <w:r w:rsidRPr="00096BD7">
              <w:rPr>
                <w:b/>
                <w:bCs/>
                <w:color w:val="000000"/>
              </w:rPr>
              <w:t>Outcomes</w:t>
            </w:r>
            <w:r w:rsidRPr="00645B2D">
              <w:rPr>
                <w:color w:val="000000"/>
              </w:rPr>
              <w:t xml:space="preserve">: poor mental health   </w:t>
            </w:r>
          </w:p>
        </w:tc>
      </w:tr>
      <w:tr w:rsidR="00C92EB7" w:rsidRPr="00645B2D" w14:paraId="30C18ABD" w14:textId="77777777" w:rsidTr="00A40DEB">
        <w:trPr>
          <w:trHeight w:val="6812"/>
        </w:trPr>
        <w:tc>
          <w:tcPr>
            <w:tcW w:w="1401" w:type="dxa"/>
            <w:tcBorders>
              <w:top w:val="nil"/>
              <w:left w:val="single" w:sz="4" w:space="0" w:color="auto"/>
              <w:bottom w:val="single" w:sz="4" w:space="0" w:color="auto"/>
              <w:right w:val="single" w:sz="4" w:space="0" w:color="auto"/>
            </w:tcBorders>
            <w:shd w:val="clear" w:color="auto" w:fill="auto"/>
            <w:hideMark/>
          </w:tcPr>
          <w:p w14:paraId="28FD4E05" w14:textId="1CB838E5" w:rsidR="00C92EB7" w:rsidRPr="00645B2D" w:rsidRDefault="00C92EB7" w:rsidP="00A40DEB">
            <w:r w:rsidRPr="00645B2D">
              <w:lastRenderedPageBreak/>
              <w:t>Nemeth et al</w:t>
            </w:r>
            <w:r w:rsidRPr="00645B2D">
              <w:rPr>
                <w:vertAlign w:val="superscript"/>
              </w:rPr>
              <w:t>3</w:t>
            </w:r>
            <w:r w:rsidR="00387D48">
              <w:rPr>
                <w:vertAlign w:val="superscript"/>
              </w:rPr>
              <w:t>3</w:t>
            </w:r>
          </w:p>
        </w:tc>
        <w:tc>
          <w:tcPr>
            <w:tcW w:w="1515" w:type="dxa"/>
            <w:tcBorders>
              <w:top w:val="nil"/>
              <w:left w:val="nil"/>
              <w:bottom w:val="single" w:sz="4" w:space="0" w:color="auto"/>
              <w:right w:val="single" w:sz="4" w:space="0" w:color="auto"/>
            </w:tcBorders>
            <w:shd w:val="clear" w:color="auto" w:fill="auto"/>
            <w:hideMark/>
          </w:tcPr>
          <w:p w14:paraId="18A6DDC0" w14:textId="77777777" w:rsidR="00C92EB7" w:rsidRPr="00645B2D" w:rsidRDefault="00C92EB7" w:rsidP="00A40DEB">
            <w:r>
              <w:t>A</w:t>
            </w:r>
            <w:r w:rsidRPr="00645B2D">
              <w:t xml:space="preserve">ges 14-24 </w:t>
            </w:r>
          </w:p>
        </w:tc>
        <w:tc>
          <w:tcPr>
            <w:tcW w:w="1995" w:type="dxa"/>
            <w:tcBorders>
              <w:top w:val="nil"/>
              <w:left w:val="nil"/>
              <w:bottom w:val="single" w:sz="4" w:space="0" w:color="auto"/>
              <w:right w:val="single" w:sz="4" w:space="0" w:color="auto"/>
            </w:tcBorders>
            <w:shd w:val="clear" w:color="auto" w:fill="auto"/>
            <w:hideMark/>
          </w:tcPr>
          <w:p w14:paraId="5495D09C" w14:textId="77777777" w:rsidR="00C92EB7" w:rsidRPr="00645B2D" w:rsidRDefault="00C92EB7" w:rsidP="00A40DEB">
            <w:r w:rsidRPr="00645B2D">
              <w:t>City/</w:t>
            </w:r>
            <w:r>
              <w:t>M</w:t>
            </w:r>
            <w:r w:rsidRPr="00645B2D">
              <w:t>etropolitan (Midwestern City)</w:t>
            </w:r>
          </w:p>
        </w:tc>
        <w:tc>
          <w:tcPr>
            <w:tcW w:w="1620" w:type="dxa"/>
            <w:tcBorders>
              <w:top w:val="nil"/>
              <w:left w:val="nil"/>
              <w:bottom w:val="single" w:sz="4" w:space="0" w:color="auto"/>
              <w:right w:val="single" w:sz="4" w:space="0" w:color="auto"/>
            </w:tcBorders>
            <w:shd w:val="clear" w:color="auto" w:fill="auto"/>
            <w:hideMark/>
          </w:tcPr>
          <w:p w14:paraId="1270E3EA" w14:textId="77777777" w:rsidR="00C92EB7" w:rsidRPr="00645B2D" w:rsidRDefault="00C92EB7" w:rsidP="00A40DEB">
            <w:r w:rsidRPr="00645B2D">
              <w:t>Cross</w:t>
            </w:r>
            <w:r>
              <w:t>-</w:t>
            </w:r>
            <w:r w:rsidRPr="00645B2D">
              <w:t xml:space="preserve"> sectional</w:t>
            </w:r>
          </w:p>
        </w:tc>
        <w:tc>
          <w:tcPr>
            <w:tcW w:w="2070" w:type="dxa"/>
            <w:tcBorders>
              <w:top w:val="nil"/>
              <w:left w:val="nil"/>
              <w:bottom w:val="single" w:sz="4" w:space="0" w:color="auto"/>
              <w:right w:val="single" w:sz="4" w:space="0" w:color="auto"/>
            </w:tcBorders>
            <w:shd w:val="clear" w:color="auto" w:fill="auto"/>
            <w:hideMark/>
          </w:tcPr>
          <w:p w14:paraId="0FE4496C" w14:textId="77777777" w:rsidR="00C92EB7" w:rsidRPr="00645B2D" w:rsidRDefault="00C92EB7" w:rsidP="00A40DEB">
            <w:r w:rsidRPr="00645B2D">
              <w:t>Examine the prevalence of acquired brain injury (ABI) among youth and young adult smokers experiencing homelessness (YYSEH) and its impact on tobacco use progression.</w:t>
            </w:r>
          </w:p>
        </w:tc>
        <w:tc>
          <w:tcPr>
            <w:tcW w:w="2700" w:type="dxa"/>
            <w:tcBorders>
              <w:top w:val="nil"/>
              <w:left w:val="nil"/>
              <w:bottom w:val="single" w:sz="4" w:space="0" w:color="auto"/>
              <w:right w:val="single" w:sz="4" w:space="0" w:color="auto"/>
            </w:tcBorders>
            <w:shd w:val="clear" w:color="auto" w:fill="auto"/>
            <w:hideMark/>
          </w:tcPr>
          <w:p w14:paraId="43E17DAA" w14:textId="77777777" w:rsidR="00C92EB7" w:rsidRPr="00645B2D" w:rsidRDefault="00C92EB7" w:rsidP="00A40DEB">
            <w:r w:rsidRPr="00645B2D">
              <w:t>Intentional injury was more common than accidental. Furthermore, 60.4% of participants (</w:t>
            </w:r>
            <w:r w:rsidRPr="00645B2D">
              <w:rPr>
                <w:i/>
                <w:iCs/>
              </w:rPr>
              <w:t>n</w:t>
            </w:r>
            <w:r w:rsidRPr="00645B2D">
              <w:t> = 59) were classified as having ABI using the Brain Injury Severity Assessment. A significant proportion of YYSEH living with ABI were exposed to both BFHT and BOD prior to trying (68.5%, </w:t>
            </w:r>
            <w:r w:rsidRPr="00645B2D">
              <w:rPr>
                <w:i/>
                <w:iCs/>
              </w:rPr>
              <w:t>p</w:t>
            </w:r>
            <w:r w:rsidRPr="00645B2D">
              <w:t> = 0.002) and to first regular use (82.8%, </w:t>
            </w:r>
            <w:r w:rsidRPr="00645B2D">
              <w:rPr>
                <w:i/>
                <w:iCs/>
              </w:rPr>
              <w:t>p</w:t>
            </w:r>
            <w:r w:rsidRPr="00645B2D">
              <w:t xml:space="preserve"> &lt; 0.001) of tobacco. Among YYSEH with </w:t>
            </w:r>
            <w:proofErr w:type="gramStart"/>
            <w:r w:rsidRPr="00645B2D">
              <w:t>ABI;</w:t>
            </w:r>
            <w:proofErr w:type="gramEnd"/>
            <w:r w:rsidRPr="00645B2D">
              <w:t xml:space="preserve"> injury exposure occurred a median of 1 and 5 years before age of first regular tobacco use, dependent on injury mechanism. </w:t>
            </w:r>
          </w:p>
        </w:tc>
        <w:tc>
          <w:tcPr>
            <w:tcW w:w="1834" w:type="dxa"/>
            <w:tcBorders>
              <w:top w:val="nil"/>
              <w:left w:val="nil"/>
              <w:bottom w:val="single" w:sz="4" w:space="0" w:color="auto"/>
              <w:right w:val="single" w:sz="4" w:space="0" w:color="auto"/>
            </w:tcBorders>
            <w:shd w:val="clear" w:color="auto" w:fill="auto"/>
            <w:hideMark/>
          </w:tcPr>
          <w:p w14:paraId="3C9EBCE6" w14:textId="77777777" w:rsidR="00C92EB7" w:rsidRPr="00645B2D" w:rsidRDefault="00C92EB7" w:rsidP="00A40DEB">
            <w:pPr>
              <w:rPr>
                <w:color w:val="000000"/>
              </w:rPr>
            </w:pPr>
            <w:r w:rsidRPr="00096BD7">
              <w:rPr>
                <w:b/>
                <w:bCs/>
                <w:color w:val="000000"/>
              </w:rPr>
              <w:t>Risk Factors</w:t>
            </w:r>
            <w:r w:rsidRPr="00645B2D">
              <w:rPr>
                <w:color w:val="000000"/>
              </w:rPr>
              <w:t xml:space="preserve">: traumatic brain injury, physical abuse/violence </w:t>
            </w:r>
            <w:r w:rsidRPr="00096BD7">
              <w:rPr>
                <w:b/>
                <w:bCs/>
                <w:color w:val="000000"/>
              </w:rPr>
              <w:t>Outcomes</w:t>
            </w:r>
            <w:r w:rsidRPr="00645B2D">
              <w:rPr>
                <w:color w:val="000000"/>
              </w:rPr>
              <w:t>: substance use disorder, tobacco use disorder</w:t>
            </w:r>
          </w:p>
        </w:tc>
      </w:tr>
      <w:tr w:rsidR="00C92EB7" w:rsidRPr="00645B2D" w14:paraId="355D7549" w14:textId="77777777" w:rsidTr="00A40DEB">
        <w:trPr>
          <w:trHeight w:val="2780"/>
        </w:trPr>
        <w:tc>
          <w:tcPr>
            <w:tcW w:w="1401" w:type="dxa"/>
            <w:tcBorders>
              <w:top w:val="nil"/>
              <w:left w:val="single" w:sz="4" w:space="0" w:color="auto"/>
              <w:bottom w:val="single" w:sz="4" w:space="0" w:color="auto"/>
              <w:right w:val="single" w:sz="4" w:space="0" w:color="auto"/>
            </w:tcBorders>
            <w:shd w:val="clear" w:color="auto" w:fill="auto"/>
            <w:hideMark/>
          </w:tcPr>
          <w:p w14:paraId="0BF43D92" w14:textId="4CDA31C4" w:rsidR="00C92EB7" w:rsidRPr="00645B2D" w:rsidRDefault="00C92EB7" w:rsidP="00A40DEB">
            <w:r w:rsidRPr="00645B2D">
              <w:lastRenderedPageBreak/>
              <w:t>Patel et al</w:t>
            </w:r>
            <w:r w:rsidRPr="00645B2D">
              <w:rPr>
                <w:vertAlign w:val="superscript"/>
              </w:rPr>
              <w:t>3</w:t>
            </w:r>
            <w:r w:rsidR="00387D48">
              <w:rPr>
                <w:vertAlign w:val="superscript"/>
              </w:rPr>
              <w:t>4</w:t>
            </w:r>
          </w:p>
        </w:tc>
        <w:tc>
          <w:tcPr>
            <w:tcW w:w="1515" w:type="dxa"/>
            <w:tcBorders>
              <w:top w:val="nil"/>
              <w:left w:val="nil"/>
              <w:bottom w:val="single" w:sz="4" w:space="0" w:color="auto"/>
              <w:right w:val="single" w:sz="4" w:space="0" w:color="auto"/>
            </w:tcBorders>
            <w:shd w:val="clear" w:color="auto" w:fill="auto"/>
            <w:hideMark/>
          </w:tcPr>
          <w:p w14:paraId="33EAB367" w14:textId="77777777" w:rsidR="00C92EB7" w:rsidRPr="00645B2D" w:rsidRDefault="00C92EB7" w:rsidP="00A40DEB">
            <w:r>
              <w:t xml:space="preserve">Longitudinal data.  Ages </w:t>
            </w:r>
            <w:r w:rsidRPr="00645B2D">
              <w:t xml:space="preserve">15-19 and 20-24 </w:t>
            </w:r>
          </w:p>
        </w:tc>
        <w:tc>
          <w:tcPr>
            <w:tcW w:w="1995" w:type="dxa"/>
            <w:tcBorders>
              <w:top w:val="nil"/>
              <w:left w:val="nil"/>
              <w:bottom w:val="single" w:sz="4" w:space="0" w:color="auto"/>
              <w:right w:val="single" w:sz="4" w:space="0" w:color="auto"/>
            </w:tcBorders>
            <w:shd w:val="clear" w:color="auto" w:fill="auto"/>
            <w:hideMark/>
          </w:tcPr>
          <w:p w14:paraId="4DF13415" w14:textId="77777777" w:rsidR="00C92EB7" w:rsidRPr="00645B2D" w:rsidRDefault="00C92EB7" w:rsidP="00A40DEB">
            <w:r w:rsidRPr="00645B2D">
              <w:t>National (US)</w:t>
            </w:r>
          </w:p>
        </w:tc>
        <w:tc>
          <w:tcPr>
            <w:tcW w:w="1620" w:type="dxa"/>
            <w:tcBorders>
              <w:top w:val="nil"/>
              <w:left w:val="nil"/>
              <w:bottom w:val="single" w:sz="4" w:space="0" w:color="auto"/>
              <w:right w:val="single" w:sz="4" w:space="0" w:color="auto"/>
            </w:tcBorders>
            <w:shd w:val="clear" w:color="auto" w:fill="auto"/>
            <w:hideMark/>
          </w:tcPr>
          <w:p w14:paraId="3967F647" w14:textId="77777777" w:rsidR="00C92EB7" w:rsidRPr="00645B2D" w:rsidRDefault="00C92EB7" w:rsidP="00A40DEB">
            <w:r>
              <w:t>C</w:t>
            </w:r>
            <w:r w:rsidRPr="00645B2D">
              <w:t>ross</w:t>
            </w:r>
            <w:r>
              <w:t>-</w:t>
            </w:r>
            <w:r w:rsidRPr="00645B2D">
              <w:t xml:space="preserve"> sectional</w:t>
            </w:r>
          </w:p>
        </w:tc>
        <w:tc>
          <w:tcPr>
            <w:tcW w:w="2070" w:type="dxa"/>
            <w:tcBorders>
              <w:top w:val="nil"/>
              <w:left w:val="nil"/>
              <w:bottom w:val="single" w:sz="4" w:space="0" w:color="auto"/>
              <w:right w:val="single" w:sz="4" w:space="0" w:color="auto"/>
            </w:tcBorders>
            <w:shd w:val="clear" w:color="auto" w:fill="auto"/>
            <w:hideMark/>
          </w:tcPr>
          <w:p w14:paraId="645FC3CE" w14:textId="77777777" w:rsidR="00C92EB7" w:rsidRPr="00645B2D" w:rsidRDefault="00C92EB7" w:rsidP="00A40DEB">
            <w:r w:rsidRPr="00645B2D">
              <w:t>Aims to compare health services utilization, STI screening and diagnoses among people experiencing homelessness (PEH) vs. those who are non-PEH </w:t>
            </w:r>
          </w:p>
        </w:tc>
        <w:tc>
          <w:tcPr>
            <w:tcW w:w="2700" w:type="dxa"/>
            <w:tcBorders>
              <w:top w:val="nil"/>
              <w:left w:val="nil"/>
              <w:bottom w:val="single" w:sz="4" w:space="0" w:color="auto"/>
              <w:right w:val="single" w:sz="4" w:space="0" w:color="auto"/>
            </w:tcBorders>
            <w:shd w:val="clear" w:color="auto" w:fill="auto"/>
            <w:hideMark/>
          </w:tcPr>
          <w:p w14:paraId="48E790A6" w14:textId="77777777" w:rsidR="00C92EB7" w:rsidRPr="00645B2D" w:rsidRDefault="00C92EB7" w:rsidP="00A40DEB">
            <w:r w:rsidRPr="00645B2D">
              <w:t xml:space="preserve">Among PEH and non-PEH sexually active patients aged 15–24 years who had an ED visit in 2019, diagnoses rates were 8.66% vs 5.18% for chlamydia, 4.18% vs 1.76% for gonorrhea and among those with ≥ 21 outpatient clinic visits in 2019, diagnoses rate was 9.46% vs 5.43% for chlamydia, and 4.05% vs 1.73% for gonorrhea, respectively. </w:t>
            </w:r>
          </w:p>
        </w:tc>
        <w:tc>
          <w:tcPr>
            <w:tcW w:w="1834" w:type="dxa"/>
            <w:tcBorders>
              <w:top w:val="nil"/>
              <w:left w:val="nil"/>
              <w:bottom w:val="single" w:sz="4" w:space="0" w:color="auto"/>
              <w:right w:val="single" w:sz="4" w:space="0" w:color="auto"/>
            </w:tcBorders>
            <w:shd w:val="clear" w:color="auto" w:fill="auto"/>
            <w:hideMark/>
          </w:tcPr>
          <w:p w14:paraId="76A50FD6" w14:textId="77777777" w:rsidR="00C92EB7" w:rsidRPr="00645B2D" w:rsidRDefault="00C92EB7" w:rsidP="00A40DEB">
            <w:pPr>
              <w:rPr>
                <w:color w:val="000000"/>
              </w:rPr>
            </w:pPr>
            <w:r w:rsidRPr="00096BD7">
              <w:rPr>
                <w:b/>
                <w:bCs/>
                <w:color w:val="000000"/>
              </w:rPr>
              <w:t>Outcomes</w:t>
            </w:r>
            <w:r w:rsidRPr="00645B2D">
              <w:rPr>
                <w:color w:val="000000"/>
              </w:rPr>
              <w:t xml:space="preserve">: sexual transmitted diseases, poor mental health, poor physical health </w:t>
            </w:r>
          </w:p>
        </w:tc>
      </w:tr>
      <w:tr w:rsidR="00C92EB7" w:rsidRPr="00645B2D" w14:paraId="1E714EB9" w14:textId="77777777" w:rsidTr="00A40DEB">
        <w:trPr>
          <w:trHeight w:val="4520"/>
        </w:trPr>
        <w:tc>
          <w:tcPr>
            <w:tcW w:w="1401" w:type="dxa"/>
            <w:tcBorders>
              <w:top w:val="nil"/>
              <w:left w:val="single" w:sz="4" w:space="0" w:color="auto"/>
              <w:bottom w:val="single" w:sz="4" w:space="0" w:color="auto"/>
              <w:right w:val="single" w:sz="4" w:space="0" w:color="auto"/>
            </w:tcBorders>
            <w:shd w:val="clear" w:color="auto" w:fill="auto"/>
            <w:hideMark/>
          </w:tcPr>
          <w:p w14:paraId="5D6944C3" w14:textId="3A55C5CC" w:rsidR="00C92EB7" w:rsidRPr="00645B2D" w:rsidRDefault="00C92EB7" w:rsidP="00A40DEB">
            <w:r w:rsidRPr="00645B2D">
              <w:t>Patterson et al</w:t>
            </w:r>
            <w:r w:rsidRPr="00645B2D">
              <w:rPr>
                <w:vertAlign w:val="superscript"/>
              </w:rPr>
              <w:t>3</w:t>
            </w:r>
            <w:r w:rsidR="00387D48">
              <w:rPr>
                <w:vertAlign w:val="superscript"/>
              </w:rPr>
              <w:t>5</w:t>
            </w:r>
          </w:p>
        </w:tc>
        <w:tc>
          <w:tcPr>
            <w:tcW w:w="1515" w:type="dxa"/>
            <w:tcBorders>
              <w:top w:val="nil"/>
              <w:left w:val="nil"/>
              <w:bottom w:val="single" w:sz="4" w:space="0" w:color="auto"/>
              <w:right w:val="single" w:sz="4" w:space="0" w:color="auto"/>
            </w:tcBorders>
            <w:shd w:val="clear" w:color="auto" w:fill="auto"/>
            <w:hideMark/>
          </w:tcPr>
          <w:p w14:paraId="2A7FE57A" w14:textId="77777777" w:rsidR="00C92EB7" w:rsidRPr="00645B2D" w:rsidRDefault="00C92EB7" w:rsidP="00A40DEB">
            <w:r w:rsidRPr="00645B2D">
              <w:t xml:space="preserve"> </w:t>
            </w:r>
            <w:r>
              <w:t>A</w:t>
            </w:r>
            <w:r w:rsidRPr="00645B2D">
              <w:t xml:space="preserve">ges 14–24 </w:t>
            </w:r>
          </w:p>
        </w:tc>
        <w:tc>
          <w:tcPr>
            <w:tcW w:w="1995" w:type="dxa"/>
            <w:tcBorders>
              <w:top w:val="nil"/>
              <w:left w:val="nil"/>
              <w:bottom w:val="single" w:sz="4" w:space="0" w:color="auto"/>
              <w:right w:val="single" w:sz="4" w:space="0" w:color="auto"/>
            </w:tcBorders>
            <w:shd w:val="clear" w:color="auto" w:fill="auto"/>
            <w:hideMark/>
          </w:tcPr>
          <w:p w14:paraId="07933DBC" w14:textId="77777777" w:rsidR="00C92EB7" w:rsidRPr="00645B2D" w:rsidRDefault="00C92EB7" w:rsidP="00A40DEB">
            <w:r w:rsidRPr="00645B2D">
              <w:t>City/</w:t>
            </w:r>
            <w:r>
              <w:t>M</w:t>
            </w:r>
            <w:r w:rsidRPr="00645B2D">
              <w:t>etropolitan (Midwestern City)</w:t>
            </w:r>
          </w:p>
        </w:tc>
        <w:tc>
          <w:tcPr>
            <w:tcW w:w="1620" w:type="dxa"/>
            <w:tcBorders>
              <w:top w:val="nil"/>
              <w:left w:val="nil"/>
              <w:bottom w:val="single" w:sz="4" w:space="0" w:color="auto"/>
              <w:right w:val="single" w:sz="4" w:space="0" w:color="auto"/>
            </w:tcBorders>
            <w:shd w:val="clear" w:color="auto" w:fill="auto"/>
            <w:hideMark/>
          </w:tcPr>
          <w:p w14:paraId="36B4028E" w14:textId="77777777" w:rsidR="00C92EB7" w:rsidRPr="00645B2D" w:rsidRDefault="00C92EB7" w:rsidP="00A40DEB">
            <w:r>
              <w:t>C</w:t>
            </w:r>
            <w:r w:rsidRPr="00645B2D">
              <w:t>ross</w:t>
            </w:r>
            <w:r>
              <w:t>-</w:t>
            </w:r>
            <w:r w:rsidRPr="00645B2D">
              <w:t xml:space="preserve"> sectional</w:t>
            </w:r>
          </w:p>
        </w:tc>
        <w:tc>
          <w:tcPr>
            <w:tcW w:w="2070" w:type="dxa"/>
            <w:tcBorders>
              <w:top w:val="nil"/>
              <w:left w:val="nil"/>
              <w:bottom w:val="single" w:sz="4" w:space="0" w:color="auto"/>
              <w:right w:val="single" w:sz="4" w:space="0" w:color="auto"/>
            </w:tcBorders>
            <w:shd w:val="clear" w:color="auto" w:fill="auto"/>
            <w:hideMark/>
          </w:tcPr>
          <w:p w14:paraId="32D2D056" w14:textId="77777777" w:rsidR="00C92EB7" w:rsidRPr="00645B2D" w:rsidRDefault="00C92EB7" w:rsidP="00A40DEB">
            <w:r w:rsidRPr="00645B2D">
              <w:t>Examine the intrapersonal, social, and environmental contexts associated with the most recent smoking experience among youth experiencing homelessness and identify differences in contextual factors by age and willingness to quit.</w:t>
            </w:r>
          </w:p>
        </w:tc>
        <w:tc>
          <w:tcPr>
            <w:tcW w:w="2700" w:type="dxa"/>
            <w:tcBorders>
              <w:top w:val="nil"/>
              <w:left w:val="nil"/>
              <w:bottom w:val="single" w:sz="4" w:space="0" w:color="auto"/>
              <w:right w:val="single" w:sz="4" w:space="0" w:color="auto"/>
            </w:tcBorders>
            <w:shd w:val="clear" w:color="auto" w:fill="auto"/>
            <w:hideMark/>
          </w:tcPr>
          <w:p w14:paraId="5C8F4969" w14:textId="77777777" w:rsidR="00C92EB7" w:rsidRPr="00645B2D" w:rsidRDefault="00C92EB7" w:rsidP="00A40DEB">
            <w:r w:rsidRPr="00645B2D">
              <w:t xml:space="preserve">Two-thirds of participants reported stress and nicotine dependence as primary reasons for smoking, and older youth (aged 18-24 years) reported smoking to de-escalate negative emotions associated with stressful events. For 25% of participants, and especially older youth, smoking was described as part of a routine. </w:t>
            </w:r>
          </w:p>
        </w:tc>
        <w:tc>
          <w:tcPr>
            <w:tcW w:w="1834" w:type="dxa"/>
            <w:tcBorders>
              <w:top w:val="nil"/>
              <w:left w:val="nil"/>
              <w:bottom w:val="single" w:sz="4" w:space="0" w:color="auto"/>
              <w:right w:val="single" w:sz="4" w:space="0" w:color="auto"/>
            </w:tcBorders>
            <w:shd w:val="clear" w:color="auto" w:fill="auto"/>
            <w:hideMark/>
          </w:tcPr>
          <w:p w14:paraId="000016A4" w14:textId="77777777" w:rsidR="00C92EB7" w:rsidRPr="00645B2D" w:rsidRDefault="00C92EB7" w:rsidP="00A40DEB">
            <w:pPr>
              <w:rPr>
                <w:color w:val="000000"/>
              </w:rPr>
            </w:pPr>
            <w:r>
              <w:rPr>
                <w:b/>
                <w:bCs/>
                <w:color w:val="000000"/>
              </w:rPr>
              <w:t>O</w:t>
            </w:r>
            <w:r w:rsidRPr="00096BD7">
              <w:rPr>
                <w:b/>
                <w:bCs/>
                <w:color w:val="000000"/>
              </w:rPr>
              <w:t>utcomes</w:t>
            </w:r>
            <w:r w:rsidRPr="00645B2D">
              <w:rPr>
                <w:color w:val="000000"/>
              </w:rPr>
              <w:t>: tobacco use disorder, poor mental health</w:t>
            </w:r>
          </w:p>
        </w:tc>
      </w:tr>
      <w:tr w:rsidR="00C92EB7" w:rsidRPr="00645B2D" w14:paraId="27EF7062" w14:textId="77777777" w:rsidTr="00A40DEB">
        <w:trPr>
          <w:trHeight w:val="3400"/>
        </w:trPr>
        <w:tc>
          <w:tcPr>
            <w:tcW w:w="1401" w:type="dxa"/>
            <w:tcBorders>
              <w:top w:val="nil"/>
              <w:left w:val="single" w:sz="4" w:space="0" w:color="auto"/>
              <w:bottom w:val="single" w:sz="4" w:space="0" w:color="auto"/>
              <w:right w:val="single" w:sz="4" w:space="0" w:color="auto"/>
            </w:tcBorders>
            <w:shd w:val="clear" w:color="auto" w:fill="auto"/>
            <w:hideMark/>
          </w:tcPr>
          <w:p w14:paraId="7BE5CB13" w14:textId="0B895E49" w:rsidR="00C92EB7" w:rsidRPr="00645B2D" w:rsidRDefault="00C92EB7" w:rsidP="00A40DEB">
            <w:r w:rsidRPr="00645B2D">
              <w:lastRenderedPageBreak/>
              <w:t>Sakai-Bizmark et al</w:t>
            </w:r>
            <w:r w:rsidR="00387D48">
              <w:rPr>
                <w:vertAlign w:val="superscript"/>
              </w:rPr>
              <w:t>36</w:t>
            </w:r>
          </w:p>
        </w:tc>
        <w:tc>
          <w:tcPr>
            <w:tcW w:w="1515" w:type="dxa"/>
            <w:tcBorders>
              <w:top w:val="nil"/>
              <w:left w:val="nil"/>
              <w:bottom w:val="single" w:sz="4" w:space="0" w:color="auto"/>
              <w:right w:val="single" w:sz="4" w:space="0" w:color="auto"/>
            </w:tcBorders>
            <w:shd w:val="clear" w:color="auto" w:fill="auto"/>
            <w:hideMark/>
          </w:tcPr>
          <w:p w14:paraId="39AC848D" w14:textId="77777777" w:rsidR="00C92EB7" w:rsidRPr="00645B2D" w:rsidRDefault="00C92EB7" w:rsidP="00A40DEB">
            <w:r w:rsidRPr="00645B2D">
              <w:t xml:space="preserve"> </w:t>
            </w:r>
            <w:r>
              <w:t>A</w:t>
            </w:r>
            <w:r w:rsidRPr="00645B2D">
              <w:t xml:space="preserve">ges 10–17 </w:t>
            </w:r>
          </w:p>
        </w:tc>
        <w:tc>
          <w:tcPr>
            <w:tcW w:w="1995" w:type="dxa"/>
            <w:tcBorders>
              <w:top w:val="nil"/>
              <w:left w:val="nil"/>
              <w:bottom w:val="single" w:sz="4" w:space="0" w:color="auto"/>
              <w:right w:val="single" w:sz="4" w:space="0" w:color="auto"/>
            </w:tcBorders>
            <w:shd w:val="clear" w:color="auto" w:fill="auto"/>
            <w:hideMark/>
          </w:tcPr>
          <w:p w14:paraId="2A65D763" w14:textId="77777777" w:rsidR="00C92EB7" w:rsidRPr="00645B2D" w:rsidRDefault="00C92EB7" w:rsidP="00A40DEB">
            <w:r w:rsidRPr="00645B2D">
              <w:t>State (New York)</w:t>
            </w:r>
          </w:p>
        </w:tc>
        <w:tc>
          <w:tcPr>
            <w:tcW w:w="1620" w:type="dxa"/>
            <w:tcBorders>
              <w:top w:val="nil"/>
              <w:left w:val="nil"/>
              <w:bottom w:val="single" w:sz="4" w:space="0" w:color="auto"/>
              <w:right w:val="single" w:sz="4" w:space="0" w:color="auto"/>
            </w:tcBorders>
            <w:shd w:val="clear" w:color="auto" w:fill="auto"/>
            <w:hideMark/>
          </w:tcPr>
          <w:p w14:paraId="2004B35B" w14:textId="77777777" w:rsidR="00C92EB7" w:rsidRPr="00645B2D" w:rsidRDefault="00C92EB7" w:rsidP="00A40DEB">
            <w:r>
              <w:t>C</w:t>
            </w:r>
            <w:r w:rsidRPr="00645B2D">
              <w:t>ross sectional</w:t>
            </w:r>
          </w:p>
        </w:tc>
        <w:tc>
          <w:tcPr>
            <w:tcW w:w="2070" w:type="dxa"/>
            <w:tcBorders>
              <w:top w:val="nil"/>
              <w:left w:val="nil"/>
              <w:bottom w:val="single" w:sz="4" w:space="0" w:color="auto"/>
              <w:right w:val="single" w:sz="4" w:space="0" w:color="auto"/>
            </w:tcBorders>
            <w:shd w:val="clear" w:color="auto" w:fill="auto"/>
            <w:hideMark/>
          </w:tcPr>
          <w:p w14:paraId="6F615AFC" w14:textId="77777777" w:rsidR="00C92EB7" w:rsidRPr="00645B2D" w:rsidRDefault="00C92EB7" w:rsidP="00A40DEB">
            <w:r w:rsidRPr="00645B2D">
              <w:t>Evaluate associations with homelessness, suicide, and health care utilization.</w:t>
            </w:r>
          </w:p>
        </w:tc>
        <w:tc>
          <w:tcPr>
            <w:tcW w:w="2700" w:type="dxa"/>
            <w:tcBorders>
              <w:top w:val="nil"/>
              <w:left w:val="nil"/>
              <w:bottom w:val="single" w:sz="4" w:space="0" w:color="auto"/>
              <w:right w:val="single" w:sz="4" w:space="0" w:color="auto"/>
            </w:tcBorders>
            <w:shd w:val="clear" w:color="auto" w:fill="auto"/>
            <w:hideMark/>
          </w:tcPr>
          <w:p w14:paraId="04EC66D8" w14:textId="77777777" w:rsidR="00C92EB7" w:rsidRPr="00645B2D" w:rsidRDefault="00C92EB7" w:rsidP="00A40DEB">
            <w:r w:rsidRPr="00645B2D">
              <w:t>18,026 suicide attempts with health-care utilization rates of 347.2 (95% confidence interval (CI): 317.5, 377.0) and 67.3 (95% CI: 66.3, 68.3) per 100,000 person-years for homeless and non</w:t>
            </w:r>
            <w:r>
              <w:t>-</w:t>
            </w:r>
            <w:r w:rsidRPr="00645B2D">
              <w:t xml:space="preserve">homeless youth, respectively. </w:t>
            </w:r>
            <w:proofErr w:type="gramStart"/>
            <w:r w:rsidRPr="00645B2D">
              <w:t>Length</w:t>
            </w:r>
            <w:proofErr w:type="gramEnd"/>
            <w:r w:rsidRPr="00645B2D">
              <w:t xml:space="preserve"> of stay for homeless youth was statistically longer than that for non</w:t>
            </w:r>
            <w:r>
              <w:t>-</w:t>
            </w:r>
            <w:r w:rsidRPr="00645B2D">
              <w:t xml:space="preserve">homeless youth (incidence rate ratio = 1.53, 95% CI: 1.32, 1.77). All homeless youth who visited the emergency department after a suicide attempt were subsequently hospitalized. </w:t>
            </w:r>
            <w:r w:rsidRPr="00645B2D">
              <w:rPr>
                <w:b/>
                <w:bCs/>
              </w:rPr>
              <w:t xml:space="preserve"> </w:t>
            </w:r>
          </w:p>
        </w:tc>
        <w:tc>
          <w:tcPr>
            <w:tcW w:w="1834" w:type="dxa"/>
            <w:tcBorders>
              <w:top w:val="nil"/>
              <w:left w:val="nil"/>
              <w:bottom w:val="single" w:sz="4" w:space="0" w:color="auto"/>
              <w:right w:val="single" w:sz="4" w:space="0" w:color="auto"/>
            </w:tcBorders>
            <w:shd w:val="clear" w:color="auto" w:fill="auto"/>
            <w:hideMark/>
          </w:tcPr>
          <w:p w14:paraId="7C321228" w14:textId="77777777" w:rsidR="00C92EB7" w:rsidRPr="00645B2D" w:rsidRDefault="00C92EB7" w:rsidP="00A40DEB">
            <w:pPr>
              <w:rPr>
                <w:color w:val="000000"/>
              </w:rPr>
            </w:pPr>
            <w:r w:rsidRPr="00096BD7">
              <w:rPr>
                <w:b/>
                <w:bCs/>
                <w:color w:val="000000"/>
              </w:rPr>
              <w:t>Outcomes</w:t>
            </w:r>
            <w:r w:rsidRPr="00645B2D">
              <w:rPr>
                <w:color w:val="000000"/>
              </w:rPr>
              <w:t>: poor mental health</w:t>
            </w:r>
          </w:p>
        </w:tc>
      </w:tr>
      <w:tr w:rsidR="00C92EB7" w:rsidRPr="00645B2D" w14:paraId="1C9A0037" w14:textId="77777777" w:rsidTr="00A40DEB">
        <w:trPr>
          <w:trHeight w:val="4360"/>
        </w:trPr>
        <w:tc>
          <w:tcPr>
            <w:tcW w:w="1401" w:type="dxa"/>
            <w:tcBorders>
              <w:top w:val="nil"/>
              <w:left w:val="single" w:sz="4" w:space="0" w:color="auto"/>
              <w:bottom w:val="single" w:sz="4" w:space="0" w:color="auto"/>
              <w:right w:val="single" w:sz="4" w:space="0" w:color="auto"/>
            </w:tcBorders>
            <w:shd w:val="clear" w:color="auto" w:fill="auto"/>
            <w:hideMark/>
          </w:tcPr>
          <w:p w14:paraId="27B73027" w14:textId="48790392" w:rsidR="00C92EB7" w:rsidRPr="00645B2D" w:rsidRDefault="00C92EB7" w:rsidP="00A40DEB">
            <w:r w:rsidRPr="00645B2D">
              <w:lastRenderedPageBreak/>
              <w:t>Santa Maria et al</w:t>
            </w:r>
            <w:r w:rsidR="00387D48">
              <w:rPr>
                <w:vertAlign w:val="superscript"/>
              </w:rPr>
              <w:t>37</w:t>
            </w:r>
          </w:p>
        </w:tc>
        <w:tc>
          <w:tcPr>
            <w:tcW w:w="1515" w:type="dxa"/>
            <w:tcBorders>
              <w:top w:val="nil"/>
              <w:left w:val="nil"/>
              <w:bottom w:val="single" w:sz="4" w:space="0" w:color="auto"/>
              <w:right w:val="single" w:sz="4" w:space="0" w:color="auto"/>
            </w:tcBorders>
            <w:shd w:val="clear" w:color="auto" w:fill="auto"/>
            <w:hideMark/>
          </w:tcPr>
          <w:p w14:paraId="39BF05C2" w14:textId="77777777" w:rsidR="00C92EB7" w:rsidRPr="00645B2D" w:rsidRDefault="00C92EB7" w:rsidP="00A40DEB">
            <w:r>
              <w:t>A</w:t>
            </w:r>
            <w:r w:rsidRPr="00645B2D">
              <w:t xml:space="preserve">ges 13-24  </w:t>
            </w:r>
          </w:p>
        </w:tc>
        <w:tc>
          <w:tcPr>
            <w:tcW w:w="1995" w:type="dxa"/>
            <w:tcBorders>
              <w:top w:val="nil"/>
              <w:left w:val="nil"/>
              <w:bottom w:val="single" w:sz="4" w:space="0" w:color="auto"/>
              <w:right w:val="single" w:sz="4" w:space="0" w:color="auto"/>
            </w:tcBorders>
            <w:shd w:val="clear" w:color="auto" w:fill="auto"/>
            <w:hideMark/>
          </w:tcPr>
          <w:p w14:paraId="704CC927" w14:textId="77777777" w:rsidR="00C92EB7" w:rsidRPr="00645B2D" w:rsidRDefault="00C92EB7" w:rsidP="00A40DEB">
            <w:r w:rsidRPr="00645B2D">
              <w:t>County (Harris County, TX)</w:t>
            </w:r>
          </w:p>
        </w:tc>
        <w:tc>
          <w:tcPr>
            <w:tcW w:w="1620" w:type="dxa"/>
            <w:tcBorders>
              <w:top w:val="nil"/>
              <w:left w:val="nil"/>
              <w:bottom w:val="single" w:sz="4" w:space="0" w:color="auto"/>
              <w:right w:val="single" w:sz="4" w:space="0" w:color="auto"/>
            </w:tcBorders>
            <w:shd w:val="clear" w:color="auto" w:fill="auto"/>
            <w:hideMark/>
          </w:tcPr>
          <w:p w14:paraId="4CCDC9AA" w14:textId="77777777" w:rsidR="00C92EB7" w:rsidRPr="00645B2D" w:rsidRDefault="00C92EB7" w:rsidP="00A40DEB">
            <w:r>
              <w:t>C</w:t>
            </w:r>
            <w:r w:rsidRPr="00645B2D">
              <w:t>ross</w:t>
            </w:r>
            <w:r>
              <w:t>-</w:t>
            </w:r>
            <w:r w:rsidRPr="00645B2D">
              <w:t xml:space="preserve"> sectional</w:t>
            </w:r>
          </w:p>
        </w:tc>
        <w:tc>
          <w:tcPr>
            <w:tcW w:w="2070" w:type="dxa"/>
            <w:tcBorders>
              <w:top w:val="nil"/>
              <w:left w:val="nil"/>
              <w:bottom w:val="single" w:sz="4" w:space="0" w:color="auto"/>
              <w:right w:val="single" w:sz="4" w:space="0" w:color="auto"/>
            </w:tcBorders>
            <w:shd w:val="clear" w:color="auto" w:fill="auto"/>
            <w:hideMark/>
          </w:tcPr>
          <w:p w14:paraId="0DBE5933" w14:textId="77777777" w:rsidR="00C92EB7" w:rsidRPr="00645B2D" w:rsidRDefault="00C92EB7" w:rsidP="00A40DEB">
            <w:r w:rsidRPr="00645B2D">
              <w:t>Examine differences between sexual risk classes among youth experiencing homelessness in relation to childhood adversities, current mental symptoms, substance use, and HIV testing</w:t>
            </w:r>
          </w:p>
        </w:tc>
        <w:tc>
          <w:tcPr>
            <w:tcW w:w="2700" w:type="dxa"/>
            <w:tcBorders>
              <w:top w:val="nil"/>
              <w:left w:val="nil"/>
              <w:bottom w:val="single" w:sz="4" w:space="0" w:color="auto"/>
              <w:right w:val="single" w:sz="4" w:space="0" w:color="auto"/>
            </w:tcBorders>
            <w:shd w:val="clear" w:color="auto" w:fill="auto"/>
            <w:hideMark/>
          </w:tcPr>
          <w:p w14:paraId="5A70B638" w14:textId="77777777" w:rsidR="00C92EB7" w:rsidRPr="00645B2D" w:rsidRDefault="00C92EB7" w:rsidP="00A40DEB">
            <w:r w:rsidRPr="00645B2D">
              <w:t>The Higher Risk class had significantly higher levels of synthetic marijuana and alcohol use</w:t>
            </w:r>
            <w:proofErr w:type="gramStart"/>
            <w:r w:rsidRPr="00645B2D">
              <w:t>, mental</w:t>
            </w:r>
            <w:proofErr w:type="gramEnd"/>
            <w:r w:rsidRPr="00645B2D">
              <w:t xml:space="preserve"> health diagnoses, and were more likely to have been tested for HIV than the Lower Risk group. Youth were more likely to be in the Higher Risk group if they were cisgender female or lesbian, gay, bisexual, or questioning (LGBQ). Nearly all youth (10/11) who </w:t>
            </w:r>
            <w:proofErr w:type="gramStart"/>
            <w:r w:rsidRPr="00645B2D">
              <w:t>reported having</w:t>
            </w:r>
            <w:proofErr w:type="gramEnd"/>
            <w:r w:rsidRPr="00645B2D">
              <w:t xml:space="preserve"> HIV infection were in the Higher Risk group. The Lower Risk group were sexually active but had lower rates of risk behaviors and sexual assault. Youth who were not sexually active had the lowest rates of marijuana and alcohol use as well as HIV testing.  </w:t>
            </w:r>
          </w:p>
        </w:tc>
        <w:tc>
          <w:tcPr>
            <w:tcW w:w="1834" w:type="dxa"/>
            <w:tcBorders>
              <w:top w:val="nil"/>
              <w:left w:val="nil"/>
              <w:bottom w:val="single" w:sz="4" w:space="0" w:color="auto"/>
              <w:right w:val="single" w:sz="4" w:space="0" w:color="auto"/>
            </w:tcBorders>
            <w:shd w:val="clear" w:color="auto" w:fill="auto"/>
            <w:hideMark/>
          </w:tcPr>
          <w:p w14:paraId="310B6121" w14:textId="77777777" w:rsidR="00C92EB7" w:rsidRPr="00645B2D" w:rsidRDefault="00C92EB7" w:rsidP="00A40DEB">
            <w:pPr>
              <w:rPr>
                <w:color w:val="000000"/>
              </w:rPr>
            </w:pPr>
            <w:r w:rsidRPr="00096BD7">
              <w:rPr>
                <w:b/>
                <w:bCs/>
                <w:color w:val="000000"/>
              </w:rPr>
              <w:t>Risk Factors</w:t>
            </w:r>
            <w:r w:rsidRPr="00645B2D">
              <w:rPr>
                <w:color w:val="000000"/>
              </w:rPr>
              <w:t xml:space="preserve">: LGBTQ+, ethnic/racial minority foster care, physical abuse/violence, sexual abuse/violence, lack of meeting basic needs </w:t>
            </w:r>
            <w:r w:rsidRPr="00096BD7">
              <w:rPr>
                <w:b/>
                <w:bCs/>
                <w:color w:val="000000"/>
              </w:rPr>
              <w:t>Outcomes</w:t>
            </w:r>
            <w:r w:rsidRPr="00645B2D">
              <w:rPr>
                <w:color w:val="000000"/>
              </w:rPr>
              <w:t>: alcohol use disorder, substance use disorder, sexual transmitted diseases, poor mental health, sexual abuse/violence</w:t>
            </w:r>
          </w:p>
        </w:tc>
      </w:tr>
      <w:tr w:rsidR="00C92EB7" w:rsidRPr="00645B2D" w14:paraId="2E55F701" w14:textId="77777777" w:rsidTr="00A40DEB">
        <w:trPr>
          <w:trHeight w:val="4160"/>
        </w:trPr>
        <w:tc>
          <w:tcPr>
            <w:tcW w:w="1401" w:type="dxa"/>
            <w:tcBorders>
              <w:top w:val="nil"/>
              <w:left w:val="single" w:sz="4" w:space="0" w:color="auto"/>
              <w:bottom w:val="single" w:sz="4" w:space="0" w:color="auto"/>
              <w:right w:val="single" w:sz="4" w:space="0" w:color="auto"/>
            </w:tcBorders>
            <w:shd w:val="clear" w:color="auto" w:fill="auto"/>
            <w:hideMark/>
          </w:tcPr>
          <w:p w14:paraId="5B06ED8F" w14:textId="46EA0C05" w:rsidR="00C92EB7" w:rsidRPr="00645B2D" w:rsidRDefault="00C92EB7" w:rsidP="00A40DEB">
            <w:proofErr w:type="spellStart"/>
            <w:r w:rsidRPr="00645B2D">
              <w:lastRenderedPageBreak/>
              <w:t>Slesnick</w:t>
            </w:r>
            <w:proofErr w:type="spellEnd"/>
            <w:r w:rsidRPr="00645B2D">
              <w:t xml:space="preserve"> et al</w:t>
            </w:r>
            <w:r w:rsidR="00387D48">
              <w:rPr>
                <w:vertAlign w:val="superscript"/>
              </w:rPr>
              <w:t>38</w:t>
            </w:r>
          </w:p>
        </w:tc>
        <w:tc>
          <w:tcPr>
            <w:tcW w:w="1515" w:type="dxa"/>
            <w:tcBorders>
              <w:top w:val="nil"/>
              <w:left w:val="nil"/>
              <w:bottom w:val="single" w:sz="4" w:space="0" w:color="auto"/>
              <w:right w:val="single" w:sz="4" w:space="0" w:color="auto"/>
            </w:tcBorders>
            <w:shd w:val="clear" w:color="auto" w:fill="auto"/>
            <w:hideMark/>
          </w:tcPr>
          <w:p w14:paraId="33D46DE7" w14:textId="77777777" w:rsidR="00C92EB7" w:rsidRPr="00645B2D" w:rsidRDefault="00C92EB7" w:rsidP="00A40DEB">
            <w:r>
              <w:t>A</w:t>
            </w:r>
            <w:r w:rsidRPr="00645B2D">
              <w:t>ges 18-24</w:t>
            </w:r>
          </w:p>
        </w:tc>
        <w:tc>
          <w:tcPr>
            <w:tcW w:w="1995" w:type="dxa"/>
            <w:tcBorders>
              <w:top w:val="nil"/>
              <w:left w:val="nil"/>
              <w:bottom w:val="single" w:sz="4" w:space="0" w:color="auto"/>
              <w:right w:val="single" w:sz="4" w:space="0" w:color="auto"/>
            </w:tcBorders>
            <w:shd w:val="clear" w:color="auto" w:fill="auto"/>
            <w:hideMark/>
          </w:tcPr>
          <w:p w14:paraId="7789006B" w14:textId="77777777" w:rsidR="00C92EB7" w:rsidRPr="00645B2D" w:rsidRDefault="00C92EB7" w:rsidP="00A40DEB">
            <w:r w:rsidRPr="00645B2D">
              <w:t>City/</w:t>
            </w:r>
            <w:r>
              <w:t>M</w:t>
            </w:r>
            <w:r w:rsidRPr="00645B2D">
              <w:t>etropolitan (Midwestern City)</w:t>
            </w:r>
          </w:p>
        </w:tc>
        <w:tc>
          <w:tcPr>
            <w:tcW w:w="1620" w:type="dxa"/>
            <w:tcBorders>
              <w:top w:val="nil"/>
              <w:left w:val="nil"/>
              <w:bottom w:val="single" w:sz="4" w:space="0" w:color="auto"/>
              <w:right w:val="single" w:sz="4" w:space="0" w:color="auto"/>
            </w:tcBorders>
            <w:shd w:val="clear" w:color="auto" w:fill="auto"/>
            <w:hideMark/>
          </w:tcPr>
          <w:p w14:paraId="5DE21057" w14:textId="77777777" w:rsidR="00C92EB7" w:rsidRPr="00645B2D" w:rsidRDefault="00C92EB7" w:rsidP="00A40DEB">
            <w:r>
              <w:t>C</w:t>
            </w:r>
            <w:r w:rsidRPr="00645B2D">
              <w:t>ross</w:t>
            </w:r>
            <w:r>
              <w:t>-</w:t>
            </w:r>
            <w:r w:rsidRPr="00645B2D">
              <w:t xml:space="preserve"> sectional</w:t>
            </w:r>
          </w:p>
        </w:tc>
        <w:tc>
          <w:tcPr>
            <w:tcW w:w="2070" w:type="dxa"/>
            <w:tcBorders>
              <w:top w:val="nil"/>
              <w:left w:val="nil"/>
              <w:bottom w:val="single" w:sz="4" w:space="0" w:color="auto"/>
              <w:right w:val="single" w:sz="4" w:space="0" w:color="auto"/>
            </w:tcBorders>
            <w:shd w:val="clear" w:color="auto" w:fill="auto"/>
            <w:hideMark/>
          </w:tcPr>
          <w:p w14:paraId="4499C308" w14:textId="77777777" w:rsidR="00C92EB7" w:rsidRPr="00645B2D" w:rsidRDefault="00C92EB7" w:rsidP="00A40DEB">
            <w:r w:rsidRPr="00645B2D">
              <w:t>Study examined the relationship of social network characteristics, perceived social network support, and interpersonal risks for suicide among a sample of 150 youth experiencing homelessness who reported severe suicide ideation</w:t>
            </w:r>
          </w:p>
        </w:tc>
        <w:tc>
          <w:tcPr>
            <w:tcW w:w="2700" w:type="dxa"/>
            <w:tcBorders>
              <w:top w:val="nil"/>
              <w:left w:val="nil"/>
              <w:bottom w:val="single" w:sz="4" w:space="0" w:color="auto"/>
              <w:right w:val="single" w:sz="4" w:space="0" w:color="auto"/>
            </w:tcBorders>
            <w:shd w:val="clear" w:color="auto" w:fill="auto"/>
            <w:hideMark/>
          </w:tcPr>
          <w:p w14:paraId="59DBD32F" w14:textId="77777777" w:rsidR="00C92EB7" w:rsidRPr="00645B2D" w:rsidRDefault="00C92EB7" w:rsidP="00A40DEB">
            <w:r w:rsidRPr="00645B2D">
              <w:t xml:space="preserve">80% of </w:t>
            </w:r>
            <w:proofErr w:type="gramStart"/>
            <w:r w:rsidRPr="00645B2D">
              <w:t>youth</w:t>
            </w:r>
            <w:proofErr w:type="gramEnd"/>
            <w:r w:rsidRPr="00645B2D">
              <w:t xml:space="preserve"> reported a prior suicide attempt, indicating a very high-risk sample of youth. Most youth were able to identify family and friend social network members, with only a small number reporting no contact with family (11%) or friends (4%). These networks reported high rates of alcohol and drug use, with 73% of family members and 85% of friends. Approximately one-quarter of family and friends </w:t>
            </w:r>
            <w:proofErr w:type="gramStart"/>
            <w:r w:rsidRPr="00645B2D">
              <w:t>engaged</w:t>
            </w:r>
            <w:proofErr w:type="gramEnd"/>
            <w:r w:rsidRPr="00645B2D">
              <w:t xml:space="preserve"> in repeated criminal behavior. The less alcohol/drug use among social network members, the more satisfied youth were with the help received from the network member.  </w:t>
            </w:r>
          </w:p>
        </w:tc>
        <w:tc>
          <w:tcPr>
            <w:tcW w:w="1834" w:type="dxa"/>
            <w:tcBorders>
              <w:top w:val="nil"/>
              <w:left w:val="nil"/>
              <w:bottom w:val="single" w:sz="4" w:space="0" w:color="auto"/>
              <w:right w:val="single" w:sz="4" w:space="0" w:color="auto"/>
            </w:tcBorders>
            <w:shd w:val="clear" w:color="auto" w:fill="auto"/>
            <w:hideMark/>
          </w:tcPr>
          <w:p w14:paraId="6141A4A3" w14:textId="77777777" w:rsidR="00C92EB7" w:rsidRPr="00645B2D" w:rsidRDefault="00C92EB7" w:rsidP="00A40DEB">
            <w:pPr>
              <w:rPr>
                <w:color w:val="000000"/>
              </w:rPr>
            </w:pPr>
            <w:r w:rsidRPr="00096BD7">
              <w:rPr>
                <w:b/>
                <w:bCs/>
                <w:color w:val="000000"/>
              </w:rPr>
              <w:t>Risk Factors</w:t>
            </w:r>
            <w:r w:rsidRPr="00645B2D">
              <w:rPr>
                <w:color w:val="000000"/>
              </w:rPr>
              <w:t xml:space="preserve">: household substance abuse, delinquent/criminal behavior; judicial interactions </w:t>
            </w:r>
            <w:r w:rsidRPr="00096BD7">
              <w:rPr>
                <w:b/>
                <w:bCs/>
                <w:color w:val="000000"/>
              </w:rPr>
              <w:t>Outcome</w:t>
            </w:r>
            <w:r>
              <w:rPr>
                <w:b/>
                <w:bCs/>
                <w:color w:val="000000"/>
              </w:rPr>
              <w:t>s</w:t>
            </w:r>
            <w:r w:rsidRPr="00645B2D">
              <w:rPr>
                <w:color w:val="000000"/>
              </w:rPr>
              <w:t>: poor mental health, alcohol use disorder, substance use disorder, lack of social support</w:t>
            </w:r>
          </w:p>
        </w:tc>
      </w:tr>
      <w:tr w:rsidR="00C92EB7" w:rsidRPr="00645B2D" w14:paraId="62B70230" w14:textId="77777777" w:rsidTr="00A40DEB">
        <w:trPr>
          <w:trHeight w:val="4607"/>
        </w:trPr>
        <w:tc>
          <w:tcPr>
            <w:tcW w:w="1401" w:type="dxa"/>
            <w:tcBorders>
              <w:top w:val="nil"/>
              <w:left w:val="single" w:sz="4" w:space="0" w:color="auto"/>
              <w:bottom w:val="single" w:sz="4" w:space="0" w:color="auto"/>
              <w:right w:val="single" w:sz="4" w:space="0" w:color="auto"/>
            </w:tcBorders>
            <w:shd w:val="clear" w:color="auto" w:fill="auto"/>
            <w:hideMark/>
          </w:tcPr>
          <w:p w14:paraId="32F1A985" w14:textId="5E427D4D" w:rsidR="00C92EB7" w:rsidRPr="00645B2D" w:rsidRDefault="00C92EB7" w:rsidP="00A40DEB">
            <w:r w:rsidRPr="00645B2D">
              <w:lastRenderedPageBreak/>
              <w:t>Smith-Grant et al</w:t>
            </w:r>
            <w:r w:rsidR="00387D48">
              <w:rPr>
                <w:vertAlign w:val="superscript"/>
              </w:rPr>
              <w:t>39</w:t>
            </w:r>
          </w:p>
        </w:tc>
        <w:tc>
          <w:tcPr>
            <w:tcW w:w="1515" w:type="dxa"/>
            <w:tcBorders>
              <w:top w:val="nil"/>
              <w:left w:val="nil"/>
              <w:bottom w:val="single" w:sz="4" w:space="0" w:color="auto"/>
              <w:right w:val="single" w:sz="4" w:space="0" w:color="auto"/>
            </w:tcBorders>
            <w:shd w:val="clear" w:color="auto" w:fill="auto"/>
            <w:noWrap/>
            <w:hideMark/>
          </w:tcPr>
          <w:p w14:paraId="7C012A14" w14:textId="77777777" w:rsidR="00C92EB7" w:rsidRPr="00645B2D" w:rsidRDefault="00C92EB7" w:rsidP="00A40DEB">
            <w:r>
              <w:t>G</w:t>
            </w:r>
            <w:r w:rsidRPr="00645B2D">
              <w:t>rades 9-12</w:t>
            </w:r>
          </w:p>
        </w:tc>
        <w:tc>
          <w:tcPr>
            <w:tcW w:w="1995" w:type="dxa"/>
            <w:tcBorders>
              <w:top w:val="nil"/>
              <w:left w:val="nil"/>
              <w:bottom w:val="single" w:sz="4" w:space="0" w:color="auto"/>
              <w:right w:val="single" w:sz="4" w:space="0" w:color="auto"/>
            </w:tcBorders>
            <w:shd w:val="clear" w:color="auto" w:fill="auto"/>
            <w:noWrap/>
            <w:hideMark/>
          </w:tcPr>
          <w:p w14:paraId="53B84E81" w14:textId="77777777" w:rsidR="00C92EB7" w:rsidRPr="00645B2D" w:rsidRDefault="00C92EB7" w:rsidP="00A40DEB">
            <w:r w:rsidRPr="00645B2D">
              <w:t>National (US)</w:t>
            </w:r>
          </w:p>
        </w:tc>
        <w:tc>
          <w:tcPr>
            <w:tcW w:w="1620" w:type="dxa"/>
            <w:tcBorders>
              <w:top w:val="nil"/>
              <w:left w:val="nil"/>
              <w:bottom w:val="single" w:sz="4" w:space="0" w:color="auto"/>
              <w:right w:val="single" w:sz="4" w:space="0" w:color="auto"/>
            </w:tcBorders>
            <w:shd w:val="clear" w:color="auto" w:fill="auto"/>
            <w:noWrap/>
            <w:hideMark/>
          </w:tcPr>
          <w:p w14:paraId="60A893D6" w14:textId="77777777" w:rsidR="00C92EB7" w:rsidRPr="00645B2D" w:rsidRDefault="00C92EB7" w:rsidP="00A40DEB">
            <w:r>
              <w:t>C</w:t>
            </w:r>
            <w:r w:rsidRPr="00645B2D">
              <w:t>ross</w:t>
            </w:r>
            <w:r>
              <w:t>-</w:t>
            </w:r>
            <w:r w:rsidRPr="00645B2D">
              <w:t xml:space="preserve"> sectional</w:t>
            </w:r>
          </w:p>
        </w:tc>
        <w:tc>
          <w:tcPr>
            <w:tcW w:w="2070" w:type="dxa"/>
            <w:tcBorders>
              <w:top w:val="nil"/>
              <w:left w:val="nil"/>
              <w:bottom w:val="single" w:sz="4" w:space="0" w:color="auto"/>
              <w:right w:val="single" w:sz="4" w:space="0" w:color="auto"/>
            </w:tcBorders>
            <w:shd w:val="clear" w:color="auto" w:fill="auto"/>
            <w:hideMark/>
          </w:tcPr>
          <w:p w14:paraId="3E3C64F0" w14:textId="77777777" w:rsidR="00C92EB7" w:rsidRPr="00645B2D" w:rsidRDefault="00C92EB7" w:rsidP="00A40DEB">
            <w:r w:rsidRPr="00645B2D">
              <w:t>Study extent to which youth experiencing homelessness report substance use, sexual risk behaviors, violence victimization, and poor mental health. </w:t>
            </w:r>
          </w:p>
        </w:tc>
        <w:tc>
          <w:tcPr>
            <w:tcW w:w="2700" w:type="dxa"/>
            <w:tcBorders>
              <w:top w:val="nil"/>
              <w:left w:val="nil"/>
              <w:bottom w:val="single" w:sz="4" w:space="0" w:color="auto"/>
              <w:right w:val="single" w:sz="4" w:space="0" w:color="auto"/>
            </w:tcBorders>
            <w:shd w:val="clear" w:color="auto" w:fill="auto"/>
            <w:hideMark/>
          </w:tcPr>
          <w:p w14:paraId="2DF9301E" w14:textId="77777777" w:rsidR="00C92EB7" w:rsidRPr="00645B2D" w:rsidRDefault="00C92EB7" w:rsidP="00A40DEB">
            <w:r w:rsidRPr="00645B2D">
              <w:t>results from 23 U.S. showed 32.7% reporting being threatened or injured with a weapon at school (</w:t>
            </w:r>
            <w:proofErr w:type="spellStart"/>
            <w:r w:rsidRPr="00645B2D">
              <w:t>aPR</w:t>
            </w:r>
            <w:proofErr w:type="spellEnd"/>
            <w:r w:rsidRPr="00645B2D">
              <w:t xml:space="preserve"> 3.57, 95% CI 2.85–4.46) and 23.0% having experienced either physical or sexual dating violence (</w:t>
            </w:r>
            <w:proofErr w:type="spellStart"/>
            <w:r w:rsidRPr="00645B2D">
              <w:t>aPR</w:t>
            </w:r>
            <w:proofErr w:type="spellEnd"/>
            <w:r w:rsidRPr="00645B2D">
              <w:t xml:space="preserve"> 3.50, 95% CI 2.91–4.21). Students experiencing homelessness were more likely than stably housed students to have attempted suicide (</w:t>
            </w:r>
            <w:proofErr w:type="spellStart"/>
            <w:r w:rsidRPr="00645B2D">
              <w:t>aPR</w:t>
            </w:r>
            <w:proofErr w:type="spellEnd"/>
            <w:r w:rsidRPr="00645B2D">
              <w:t xml:space="preserve"> 3.12, 95% CI 2.63–3.71) and more likely to have been injured in a suicide attempt (</w:t>
            </w:r>
            <w:proofErr w:type="spellStart"/>
            <w:r w:rsidRPr="00645B2D">
              <w:t>aPR</w:t>
            </w:r>
            <w:proofErr w:type="spellEnd"/>
            <w:r w:rsidRPr="00645B2D">
              <w:t xml:space="preserve"> 4.76, 95% CI 3.61–6.29).  Students experiencing homelessness in the 11 school districts were more likely than stably housed students to have reported being threatened or injured with a weapon at</w:t>
            </w:r>
            <w:r>
              <w:t xml:space="preserve"> </w:t>
            </w:r>
            <w:r w:rsidRPr="00645B2D">
              <w:t>school (</w:t>
            </w:r>
            <w:proofErr w:type="spellStart"/>
            <w:r w:rsidRPr="00645B2D">
              <w:t>aPR</w:t>
            </w:r>
            <w:proofErr w:type="spellEnd"/>
            <w:r w:rsidRPr="00645B2D">
              <w:t xml:space="preserve"> 3.46, 95% CI 2.86–4.19), not attending school because of safety concerns (</w:t>
            </w:r>
            <w:proofErr w:type="spellStart"/>
            <w:r w:rsidRPr="00645B2D">
              <w:t>aPR</w:t>
            </w:r>
            <w:proofErr w:type="spellEnd"/>
            <w:r w:rsidRPr="00645B2D">
              <w:t xml:space="preserve"> 2.67, 95% CI 2.26–3.17), experiencing physical </w:t>
            </w:r>
            <w:r w:rsidRPr="00645B2D">
              <w:lastRenderedPageBreak/>
              <w:t>dating violence (</w:t>
            </w:r>
            <w:proofErr w:type="spellStart"/>
            <w:r w:rsidRPr="00645B2D">
              <w:t>aPR</w:t>
            </w:r>
            <w:proofErr w:type="spellEnd"/>
            <w:r w:rsidRPr="00645B2D">
              <w:t xml:space="preserve"> 3.40, 95% CI 2.77–4.17), and experiencing sexual dating violence (</w:t>
            </w:r>
            <w:proofErr w:type="spellStart"/>
            <w:r w:rsidRPr="00645B2D">
              <w:t>aPR</w:t>
            </w:r>
            <w:proofErr w:type="spellEnd"/>
            <w:r w:rsidRPr="00645B2D">
              <w:t xml:space="preserve"> 3.28, 95% CI 2.60–4.15). Students experiencing homeless- ness in local school districts were also more likely than </w:t>
            </w:r>
            <w:proofErr w:type="spellStart"/>
            <w:r w:rsidRPr="00645B2D">
              <w:t>sta</w:t>
            </w:r>
            <w:proofErr w:type="spellEnd"/>
            <w:r w:rsidRPr="00645B2D">
              <w:t xml:space="preserve">- </w:t>
            </w:r>
            <w:proofErr w:type="spellStart"/>
            <w:r w:rsidRPr="00645B2D">
              <w:t>bly</w:t>
            </w:r>
            <w:proofErr w:type="spellEnd"/>
            <w:r w:rsidRPr="00645B2D">
              <w:t xml:space="preserve"> housed students to have attempted suicide (</w:t>
            </w:r>
            <w:proofErr w:type="spellStart"/>
            <w:r w:rsidRPr="00645B2D">
              <w:t>aPR</w:t>
            </w:r>
            <w:proofErr w:type="spellEnd"/>
            <w:r w:rsidRPr="00645B2D">
              <w:t xml:space="preserve"> 3.14, 95% CI 2.55–3.86) and more likely to have been injured in a suicide attempt (</w:t>
            </w:r>
            <w:proofErr w:type="spellStart"/>
            <w:r w:rsidRPr="00645B2D">
              <w:t>aPR</w:t>
            </w:r>
            <w:proofErr w:type="spellEnd"/>
            <w:r w:rsidRPr="00645B2D">
              <w:t xml:space="preserve"> 5.10, 95% CI 3.59–7.26) </w:t>
            </w:r>
          </w:p>
        </w:tc>
        <w:tc>
          <w:tcPr>
            <w:tcW w:w="1834" w:type="dxa"/>
            <w:tcBorders>
              <w:top w:val="nil"/>
              <w:left w:val="nil"/>
              <w:bottom w:val="single" w:sz="4" w:space="0" w:color="auto"/>
              <w:right w:val="single" w:sz="4" w:space="0" w:color="auto"/>
            </w:tcBorders>
            <w:shd w:val="clear" w:color="auto" w:fill="auto"/>
            <w:hideMark/>
          </w:tcPr>
          <w:p w14:paraId="4BB7BC13" w14:textId="77777777" w:rsidR="00C92EB7" w:rsidRPr="00645B2D" w:rsidRDefault="00C92EB7" w:rsidP="00A40DEB">
            <w:pPr>
              <w:rPr>
                <w:color w:val="000000"/>
              </w:rPr>
            </w:pPr>
            <w:r w:rsidRPr="00096BD7">
              <w:rPr>
                <w:b/>
                <w:bCs/>
                <w:color w:val="000000"/>
              </w:rPr>
              <w:lastRenderedPageBreak/>
              <w:t>Risk Factors</w:t>
            </w:r>
            <w:r w:rsidRPr="00645B2D">
              <w:rPr>
                <w:color w:val="000000"/>
              </w:rPr>
              <w:t xml:space="preserve">: male, LGBTQ+, racial/ethnic minority </w:t>
            </w:r>
            <w:r w:rsidRPr="00096BD7">
              <w:rPr>
                <w:b/>
                <w:bCs/>
                <w:color w:val="000000"/>
              </w:rPr>
              <w:t>Outcomes</w:t>
            </w:r>
            <w:r w:rsidRPr="00645B2D">
              <w:rPr>
                <w:color w:val="000000"/>
              </w:rPr>
              <w:t>: sexual abuse/violence, physical abuse/violence, poor mental health, sexual transmitted diseases, High risk sexual behaviors, poor physical health, alcohol use disorder, substance use disorder, tobacco use disorder</w:t>
            </w:r>
          </w:p>
        </w:tc>
      </w:tr>
      <w:tr w:rsidR="00C92EB7" w:rsidRPr="00645B2D" w14:paraId="5CD0949D" w14:textId="77777777" w:rsidTr="00A40DEB">
        <w:trPr>
          <w:trHeight w:val="2620"/>
        </w:trPr>
        <w:tc>
          <w:tcPr>
            <w:tcW w:w="1401" w:type="dxa"/>
            <w:tcBorders>
              <w:top w:val="nil"/>
              <w:left w:val="single" w:sz="4" w:space="0" w:color="auto"/>
              <w:bottom w:val="single" w:sz="4" w:space="0" w:color="auto"/>
              <w:right w:val="single" w:sz="4" w:space="0" w:color="auto"/>
            </w:tcBorders>
            <w:shd w:val="clear" w:color="auto" w:fill="auto"/>
            <w:hideMark/>
          </w:tcPr>
          <w:p w14:paraId="21DBCAC0" w14:textId="6CB2DF2E" w:rsidR="00C92EB7" w:rsidRPr="00645B2D" w:rsidRDefault="00C92EB7" w:rsidP="00A40DEB">
            <w:r w:rsidRPr="00645B2D">
              <w:t>Tucker et al</w:t>
            </w:r>
            <w:r w:rsidRPr="00645B2D">
              <w:rPr>
                <w:vertAlign w:val="superscript"/>
              </w:rPr>
              <w:t>4</w:t>
            </w:r>
            <w:r w:rsidR="00387D48">
              <w:rPr>
                <w:vertAlign w:val="superscript"/>
              </w:rPr>
              <w:t>0</w:t>
            </w:r>
          </w:p>
        </w:tc>
        <w:tc>
          <w:tcPr>
            <w:tcW w:w="1515" w:type="dxa"/>
            <w:tcBorders>
              <w:top w:val="nil"/>
              <w:left w:val="nil"/>
              <w:bottom w:val="single" w:sz="4" w:space="0" w:color="auto"/>
              <w:right w:val="single" w:sz="4" w:space="0" w:color="auto"/>
            </w:tcBorders>
            <w:shd w:val="clear" w:color="auto" w:fill="auto"/>
            <w:hideMark/>
          </w:tcPr>
          <w:p w14:paraId="07FDDD07" w14:textId="77777777" w:rsidR="00C92EB7" w:rsidRPr="00645B2D" w:rsidRDefault="00C92EB7" w:rsidP="00A40DEB">
            <w:r>
              <w:t>Longitudinal data.  S</w:t>
            </w:r>
            <w:r w:rsidRPr="00645B2D">
              <w:t>tarting avg age 11.5 current avg age 22.6</w:t>
            </w:r>
          </w:p>
        </w:tc>
        <w:tc>
          <w:tcPr>
            <w:tcW w:w="1995" w:type="dxa"/>
            <w:tcBorders>
              <w:top w:val="nil"/>
              <w:left w:val="nil"/>
              <w:bottom w:val="single" w:sz="4" w:space="0" w:color="auto"/>
              <w:right w:val="single" w:sz="4" w:space="0" w:color="auto"/>
            </w:tcBorders>
            <w:shd w:val="clear" w:color="auto" w:fill="auto"/>
            <w:hideMark/>
          </w:tcPr>
          <w:p w14:paraId="31150EA4" w14:textId="77777777" w:rsidR="00C92EB7" w:rsidRPr="00645B2D" w:rsidRDefault="00C92EB7" w:rsidP="00A40DEB">
            <w:r w:rsidRPr="00645B2D">
              <w:t xml:space="preserve">Regional, </w:t>
            </w:r>
            <w:r>
              <w:t>W</w:t>
            </w:r>
            <w:r w:rsidRPr="00645B2D">
              <w:t xml:space="preserve">ithin </w:t>
            </w:r>
            <w:r>
              <w:t>S</w:t>
            </w:r>
            <w:r w:rsidRPr="00645B2D">
              <w:t xml:space="preserve">ingle </w:t>
            </w:r>
            <w:r>
              <w:t>S</w:t>
            </w:r>
            <w:r w:rsidRPr="00645B2D">
              <w:t>tate (Southern CA)</w:t>
            </w:r>
          </w:p>
        </w:tc>
        <w:tc>
          <w:tcPr>
            <w:tcW w:w="1620" w:type="dxa"/>
            <w:tcBorders>
              <w:top w:val="nil"/>
              <w:left w:val="nil"/>
              <w:bottom w:val="single" w:sz="4" w:space="0" w:color="auto"/>
              <w:right w:val="single" w:sz="4" w:space="0" w:color="auto"/>
            </w:tcBorders>
            <w:shd w:val="clear" w:color="auto" w:fill="auto"/>
            <w:hideMark/>
          </w:tcPr>
          <w:p w14:paraId="0FDF6CCB" w14:textId="77777777" w:rsidR="00C92EB7" w:rsidRPr="00645B2D" w:rsidRDefault="00C92EB7" w:rsidP="00A40DEB">
            <w:r>
              <w:t>L</w:t>
            </w:r>
            <w:r w:rsidRPr="00645B2D">
              <w:t>ongitudinal</w:t>
            </w:r>
          </w:p>
        </w:tc>
        <w:tc>
          <w:tcPr>
            <w:tcW w:w="2070" w:type="dxa"/>
            <w:tcBorders>
              <w:top w:val="nil"/>
              <w:left w:val="nil"/>
              <w:bottom w:val="single" w:sz="4" w:space="0" w:color="auto"/>
              <w:right w:val="single" w:sz="4" w:space="0" w:color="auto"/>
            </w:tcBorders>
            <w:shd w:val="clear" w:color="auto" w:fill="auto"/>
            <w:hideMark/>
          </w:tcPr>
          <w:p w14:paraId="095D589A" w14:textId="77777777" w:rsidR="00C92EB7" w:rsidRPr="00645B2D" w:rsidRDefault="00C92EB7" w:rsidP="00A40DEB">
            <w:r>
              <w:t>I</w:t>
            </w:r>
            <w:r w:rsidRPr="00645B2D">
              <w:t>dentify adolescent factors across multiple levels of influence that predict homelessness and food insecurity 5 years later</w:t>
            </w:r>
            <w:r>
              <w:t>.</w:t>
            </w:r>
          </w:p>
        </w:tc>
        <w:tc>
          <w:tcPr>
            <w:tcW w:w="2700" w:type="dxa"/>
            <w:tcBorders>
              <w:top w:val="nil"/>
              <w:left w:val="nil"/>
              <w:bottom w:val="single" w:sz="4" w:space="0" w:color="auto"/>
              <w:right w:val="single" w:sz="4" w:space="0" w:color="auto"/>
            </w:tcBorders>
            <w:shd w:val="clear" w:color="auto" w:fill="auto"/>
            <w:hideMark/>
          </w:tcPr>
          <w:p w14:paraId="5D1CCFE7" w14:textId="77777777" w:rsidR="00C92EB7" w:rsidRPr="00645B2D" w:rsidRDefault="00C92EB7" w:rsidP="00A40DEB">
            <w:r w:rsidRPr="00645B2D">
              <w:t xml:space="preserve">At follow-up, 7.5% of participants reported homelessness, and 29.3% reported food insecurity. Multivariate analyses indicated that only adverse childhood experiences and weaker academic orientation predicted both outcomes. Future homelessness was additionally predicted by greater exposure to substance using peers during adolescence.  </w:t>
            </w:r>
          </w:p>
        </w:tc>
        <w:tc>
          <w:tcPr>
            <w:tcW w:w="1834" w:type="dxa"/>
            <w:tcBorders>
              <w:top w:val="nil"/>
              <w:left w:val="nil"/>
              <w:bottom w:val="single" w:sz="4" w:space="0" w:color="auto"/>
              <w:right w:val="single" w:sz="4" w:space="0" w:color="auto"/>
            </w:tcBorders>
            <w:shd w:val="clear" w:color="auto" w:fill="auto"/>
            <w:hideMark/>
          </w:tcPr>
          <w:p w14:paraId="3560C775" w14:textId="77777777" w:rsidR="00C92EB7" w:rsidRPr="00645B2D" w:rsidRDefault="00C92EB7" w:rsidP="00A40DEB">
            <w:pPr>
              <w:rPr>
                <w:color w:val="000000"/>
              </w:rPr>
            </w:pPr>
            <w:r w:rsidRPr="00096BD7">
              <w:rPr>
                <w:b/>
                <w:bCs/>
                <w:color w:val="000000"/>
              </w:rPr>
              <w:t>Risk Factors</w:t>
            </w:r>
            <w:r w:rsidRPr="00645B2D">
              <w:rPr>
                <w:color w:val="000000"/>
              </w:rPr>
              <w:t>: poor mental health, delinquent/criminal behavior; judicial interactions, substance use, lack of parental involvement, low educational attainment</w:t>
            </w:r>
          </w:p>
        </w:tc>
      </w:tr>
      <w:tr w:rsidR="00C92EB7" w:rsidRPr="00645B2D" w14:paraId="66AE1FAF" w14:textId="77777777" w:rsidTr="00A40DEB">
        <w:trPr>
          <w:trHeight w:val="5780"/>
        </w:trPr>
        <w:tc>
          <w:tcPr>
            <w:tcW w:w="1401" w:type="dxa"/>
            <w:tcBorders>
              <w:top w:val="nil"/>
              <w:left w:val="single" w:sz="4" w:space="0" w:color="auto"/>
              <w:bottom w:val="single" w:sz="4" w:space="0" w:color="auto"/>
              <w:right w:val="single" w:sz="4" w:space="0" w:color="auto"/>
            </w:tcBorders>
            <w:shd w:val="clear" w:color="auto" w:fill="auto"/>
            <w:hideMark/>
          </w:tcPr>
          <w:p w14:paraId="48E24551" w14:textId="31D5EF60" w:rsidR="00C92EB7" w:rsidRPr="00645B2D" w:rsidRDefault="00C92EB7" w:rsidP="00A40DEB">
            <w:r w:rsidRPr="00645B2D">
              <w:lastRenderedPageBreak/>
              <w:t>Tucker et al</w:t>
            </w:r>
            <w:r w:rsidRPr="00645B2D">
              <w:rPr>
                <w:vertAlign w:val="superscript"/>
              </w:rPr>
              <w:t>4</w:t>
            </w:r>
            <w:r w:rsidR="00387D48">
              <w:rPr>
                <w:vertAlign w:val="superscript"/>
              </w:rPr>
              <w:t>1</w:t>
            </w:r>
          </w:p>
        </w:tc>
        <w:tc>
          <w:tcPr>
            <w:tcW w:w="1515" w:type="dxa"/>
            <w:tcBorders>
              <w:top w:val="nil"/>
              <w:left w:val="nil"/>
              <w:bottom w:val="single" w:sz="4" w:space="0" w:color="auto"/>
              <w:right w:val="single" w:sz="4" w:space="0" w:color="auto"/>
            </w:tcBorders>
            <w:shd w:val="clear" w:color="auto" w:fill="auto"/>
            <w:hideMark/>
          </w:tcPr>
          <w:p w14:paraId="2B8A1F0D" w14:textId="77777777" w:rsidR="00C92EB7" w:rsidRPr="00645B2D" w:rsidRDefault="00C92EB7" w:rsidP="00A40DEB">
            <w:r>
              <w:t>A</w:t>
            </w:r>
            <w:r w:rsidRPr="00645B2D">
              <w:t xml:space="preserve">ges 13-25 </w:t>
            </w:r>
          </w:p>
        </w:tc>
        <w:tc>
          <w:tcPr>
            <w:tcW w:w="1995" w:type="dxa"/>
            <w:tcBorders>
              <w:top w:val="nil"/>
              <w:left w:val="nil"/>
              <w:bottom w:val="single" w:sz="4" w:space="0" w:color="auto"/>
              <w:right w:val="single" w:sz="4" w:space="0" w:color="auto"/>
            </w:tcBorders>
            <w:shd w:val="clear" w:color="auto" w:fill="auto"/>
            <w:hideMark/>
          </w:tcPr>
          <w:p w14:paraId="6CD5FB67" w14:textId="77777777" w:rsidR="00C92EB7" w:rsidRPr="00645B2D" w:rsidRDefault="00C92EB7" w:rsidP="00A40DEB">
            <w:r w:rsidRPr="00645B2D">
              <w:t>County (Los Angeles County, CA)</w:t>
            </w:r>
          </w:p>
        </w:tc>
        <w:tc>
          <w:tcPr>
            <w:tcW w:w="1620" w:type="dxa"/>
            <w:tcBorders>
              <w:top w:val="nil"/>
              <w:left w:val="nil"/>
              <w:bottom w:val="single" w:sz="4" w:space="0" w:color="auto"/>
              <w:right w:val="single" w:sz="4" w:space="0" w:color="auto"/>
            </w:tcBorders>
            <w:shd w:val="clear" w:color="auto" w:fill="auto"/>
            <w:hideMark/>
          </w:tcPr>
          <w:p w14:paraId="681A9BC5" w14:textId="77777777" w:rsidR="00C92EB7" w:rsidRPr="00645B2D" w:rsidRDefault="00C92EB7" w:rsidP="00A40DEB">
            <w:r>
              <w:t>C</w:t>
            </w:r>
            <w:r w:rsidRPr="00645B2D">
              <w:t>ross</w:t>
            </w:r>
            <w:r>
              <w:t>-</w:t>
            </w:r>
            <w:r w:rsidRPr="00645B2D">
              <w:t xml:space="preserve"> sectional</w:t>
            </w:r>
          </w:p>
        </w:tc>
        <w:tc>
          <w:tcPr>
            <w:tcW w:w="2070" w:type="dxa"/>
            <w:tcBorders>
              <w:top w:val="nil"/>
              <w:left w:val="nil"/>
              <w:bottom w:val="single" w:sz="4" w:space="0" w:color="auto"/>
              <w:right w:val="single" w:sz="4" w:space="0" w:color="auto"/>
            </w:tcBorders>
            <w:shd w:val="clear" w:color="auto" w:fill="auto"/>
            <w:hideMark/>
          </w:tcPr>
          <w:p w14:paraId="5FD6D06C" w14:textId="77777777" w:rsidR="00C92EB7" w:rsidRPr="00645B2D" w:rsidRDefault="00C92EB7" w:rsidP="00A40DEB">
            <w:r w:rsidRPr="00645B2D">
              <w:t>Examin</w:t>
            </w:r>
            <w:r>
              <w:t>e</w:t>
            </w:r>
            <w:r w:rsidRPr="00645B2D">
              <w:t xml:space="preserve"> the prevalence and </w:t>
            </w:r>
            <w:proofErr w:type="gramStart"/>
            <w:r w:rsidRPr="00645B2D">
              <w:t>correlates</w:t>
            </w:r>
            <w:proofErr w:type="gramEnd"/>
            <w:r w:rsidRPr="00645B2D">
              <w:t xml:space="preserve"> of tobacco and marijuana co-use among young people experiencing homelessness</w:t>
            </w:r>
            <w:r>
              <w:t>.</w:t>
            </w:r>
          </w:p>
        </w:tc>
        <w:tc>
          <w:tcPr>
            <w:tcW w:w="2700" w:type="dxa"/>
            <w:tcBorders>
              <w:top w:val="nil"/>
              <w:left w:val="nil"/>
              <w:bottom w:val="single" w:sz="4" w:space="0" w:color="auto"/>
              <w:right w:val="single" w:sz="4" w:space="0" w:color="auto"/>
            </w:tcBorders>
            <w:shd w:val="clear" w:color="auto" w:fill="auto"/>
            <w:hideMark/>
          </w:tcPr>
          <w:p w14:paraId="4F06A2BD" w14:textId="77777777" w:rsidR="00C92EB7" w:rsidRPr="00645B2D" w:rsidRDefault="00C92EB7" w:rsidP="00A40DEB">
            <w:r w:rsidRPr="00645B2D">
              <w:t>Over 90% of young homeless tobacco users reported past month marijuana and tobacco</w:t>
            </w:r>
            <w:r>
              <w:t xml:space="preserve">, </w:t>
            </w:r>
            <w:r w:rsidRPr="00645B2D">
              <w:t>65% reported co-administration (mixing both substances)</w:t>
            </w:r>
            <w:r>
              <w:t>,</w:t>
            </w:r>
            <w:r w:rsidRPr="00645B2D">
              <w:t xml:space="preserve"> and 27% reported only using them separately. Analysis of covariance tests found that co-administrators reported greater quantity and frequency of tobacco cigarette use, more frequent marijuana use and, in some cases, poorer functioning and more severe homelessness compared to other tobacco users (p &lt; 0.05). </w:t>
            </w:r>
          </w:p>
        </w:tc>
        <w:tc>
          <w:tcPr>
            <w:tcW w:w="1834" w:type="dxa"/>
            <w:tcBorders>
              <w:top w:val="nil"/>
              <w:left w:val="nil"/>
              <w:bottom w:val="single" w:sz="4" w:space="0" w:color="auto"/>
              <w:right w:val="single" w:sz="4" w:space="0" w:color="auto"/>
            </w:tcBorders>
            <w:shd w:val="clear" w:color="auto" w:fill="auto"/>
            <w:hideMark/>
          </w:tcPr>
          <w:p w14:paraId="4C9E0EE4" w14:textId="77777777" w:rsidR="00C92EB7" w:rsidRPr="00645B2D" w:rsidRDefault="00C92EB7" w:rsidP="00A40DEB">
            <w:pPr>
              <w:rPr>
                <w:color w:val="000000"/>
              </w:rPr>
            </w:pPr>
            <w:r w:rsidRPr="00096BD7">
              <w:rPr>
                <w:b/>
                <w:bCs/>
                <w:color w:val="000000"/>
              </w:rPr>
              <w:t>Outcomes</w:t>
            </w:r>
            <w:r w:rsidRPr="00645B2D">
              <w:rPr>
                <w:color w:val="000000"/>
              </w:rPr>
              <w:t>: substance use disorder, tobacco use disorder, poor mental health</w:t>
            </w:r>
          </w:p>
        </w:tc>
      </w:tr>
      <w:tr w:rsidR="00C92EB7" w:rsidRPr="00645B2D" w14:paraId="4F62B63A" w14:textId="77777777" w:rsidTr="00A40DEB">
        <w:trPr>
          <w:trHeight w:val="5420"/>
        </w:trPr>
        <w:tc>
          <w:tcPr>
            <w:tcW w:w="1401" w:type="dxa"/>
            <w:tcBorders>
              <w:top w:val="nil"/>
              <w:left w:val="single" w:sz="4" w:space="0" w:color="auto"/>
              <w:bottom w:val="single" w:sz="4" w:space="0" w:color="auto"/>
              <w:right w:val="single" w:sz="4" w:space="0" w:color="auto"/>
            </w:tcBorders>
            <w:shd w:val="clear" w:color="auto" w:fill="auto"/>
            <w:hideMark/>
          </w:tcPr>
          <w:p w14:paraId="41027B21" w14:textId="61BCD886" w:rsidR="00C92EB7" w:rsidRPr="00645B2D" w:rsidRDefault="00C92EB7" w:rsidP="00A40DEB">
            <w:r w:rsidRPr="00645B2D">
              <w:lastRenderedPageBreak/>
              <w:t>Zhang et al</w:t>
            </w:r>
            <w:r w:rsidRPr="00645B2D">
              <w:rPr>
                <w:vertAlign w:val="superscript"/>
              </w:rPr>
              <w:t>4</w:t>
            </w:r>
            <w:r w:rsidR="00387D48">
              <w:rPr>
                <w:vertAlign w:val="superscript"/>
              </w:rPr>
              <w:t>2</w:t>
            </w:r>
          </w:p>
        </w:tc>
        <w:tc>
          <w:tcPr>
            <w:tcW w:w="1515" w:type="dxa"/>
            <w:tcBorders>
              <w:top w:val="nil"/>
              <w:left w:val="nil"/>
              <w:bottom w:val="single" w:sz="4" w:space="0" w:color="auto"/>
              <w:right w:val="single" w:sz="4" w:space="0" w:color="auto"/>
            </w:tcBorders>
            <w:shd w:val="clear" w:color="auto" w:fill="auto"/>
            <w:hideMark/>
          </w:tcPr>
          <w:p w14:paraId="173A72D0" w14:textId="77777777" w:rsidR="00C92EB7" w:rsidRPr="00645B2D" w:rsidRDefault="00C92EB7" w:rsidP="00A40DEB">
            <w:r w:rsidRPr="00645B2D">
              <w:t xml:space="preserve"> </w:t>
            </w:r>
            <w:r>
              <w:t>A</w:t>
            </w:r>
            <w:r w:rsidRPr="00645B2D">
              <w:t xml:space="preserve">ges 18-24 </w:t>
            </w:r>
          </w:p>
        </w:tc>
        <w:tc>
          <w:tcPr>
            <w:tcW w:w="1995" w:type="dxa"/>
            <w:tcBorders>
              <w:top w:val="nil"/>
              <w:left w:val="nil"/>
              <w:bottom w:val="single" w:sz="4" w:space="0" w:color="auto"/>
              <w:right w:val="single" w:sz="4" w:space="0" w:color="auto"/>
            </w:tcBorders>
            <w:shd w:val="clear" w:color="auto" w:fill="auto"/>
            <w:hideMark/>
          </w:tcPr>
          <w:p w14:paraId="38535687" w14:textId="77777777" w:rsidR="00C92EB7" w:rsidRPr="00645B2D" w:rsidRDefault="00C92EB7" w:rsidP="00A40DEB">
            <w:r w:rsidRPr="00645B2D">
              <w:t>City/</w:t>
            </w:r>
            <w:r>
              <w:t>M</w:t>
            </w:r>
            <w:r w:rsidRPr="00645B2D">
              <w:t>etropolitan (Midwestern City)</w:t>
            </w:r>
          </w:p>
        </w:tc>
        <w:tc>
          <w:tcPr>
            <w:tcW w:w="1620" w:type="dxa"/>
            <w:tcBorders>
              <w:top w:val="nil"/>
              <w:left w:val="nil"/>
              <w:bottom w:val="single" w:sz="4" w:space="0" w:color="auto"/>
              <w:right w:val="single" w:sz="4" w:space="0" w:color="auto"/>
            </w:tcBorders>
            <w:shd w:val="clear" w:color="auto" w:fill="auto"/>
            <w:hideMark/>
          </w:tcPr>
          <w:p w14:paraId="702B3F06" w14:textId="77777777" w:rsidR="00C92EB7" w:rsidRPr="00645B2D" w:rsidRDefault="00C92EB7" w:rsidP="00A40DEB">
            <w:r>
              <w:t>E</w:t>
            </w:r>
            <w:r w:rsidRPr="00645B2D">
              <w:t>xperimental</w:t>
            </w:r>
          </w:p>
        </w:tc>
        <w:tc>
          <w:tcPr>
            <w:tcW w:w="2070" w:type="dxa"/>
            <w:tcBorders>
              <w:top w:val="nil"/>
              <w:left w:val="nil"/>
              <w:bottom w:val="single" w:sz="4" w:space="0" w:color="auto"/>
              <w:right w:val="single" w:sz="4" w:space="0" w:color="auto"/>
            </w:tcBorders>
            <w:shd w:val="clear" w:color="auto" w:fill="auto"/>
            <w:hideMark/>
          </w:tcPr>
          <w:p w14:paraId="461DBC0B" w14:textId="77777777" w:rsidR="00C92EB7" w:rsidRPr="00645B2D" w:rsidRDefault="00C92EB7" w:rsidP="00A40DEB">
            <w:r w:rsidRPr="00645B2D">
              <w:t>Study examined whether participation in Cognitive Therapy for Suicide Prevention (CTSP) moderated the mediation link between social problem-solving, perceived burdensomeness and thwarted belongingness, and suicidal ideation among a sample of homeless youth experiencing suicidal ideation. </w:t>
            </w:r>
          </w:p>
        </w:tc>
        <w:tc>
          <w:tcPr>
            <w:tcW w:w="2700" w:type="dxa"/>
            <w:tcBorders>
              <w:top w:val="nil"/>
              <w:left w:val="nil"/>
              <w:bottom w:val="single" w:sz="4" w:space="0" w:color="auto"/>
              <w:right w:val="single" w:sz="4" w:space="0" w:color="auto"/>
            </w:tcBorders>
            <w:shd w:val="clear" w:color="auto" w:fill="auto"/>
            <w:hideMark/>
          </w:tcPr>
          <w:p w14:paraId="7DC3DD5D" w14:textId="77777777" w:rsidR="00C92EB7" w:rsidRPr="00645B2D" w:rsidRDefault="00C92EB7" w:rsidP="00A40DEB">
            <w:r w:rsidRPr="00645B2D">
              <w:t>Social problem-solving showed significant stability from baseline to 3 months</w:t>
            </w:r>
            <w:r>
              <w:t xml:space="preserve"> between both groups</w:t>
            </w:r>
            <w:r w:rsidRPr="00645B2D">
              <w:t xml:space="preserve">. Thwarted belongingness and perceived burdensomeness showed stability over 6 months only in the </w:t>
            </w:r>
            <w:r>
              <w:t>treatment as usual (</w:t>
            </w:r>
            <w:r w:rsidRPr="00645B2D">
              <w:t>TAU</w:t>
            </w:r>
            <w:r>
              <w:t>)</w:t>
            </w:r>
            <w:r w:rsidRPr="00645B2D">
              <w:t xml:space="preserve"> </w:t>
            </w:r>
            <w:proofErr w:type="gramStart"/>
            <w:r w:rsidRPr="00645B2D">
              <w:t>group, but</w:t>
            </w:r>
            <w:proofErr w:type="gramEnd"/>
            <w:r w:rsidRPr="00645B2D">
              <w:t xml:space="preserve"> </w:t>
            </w:r>
            <w:r>
              <w:t>decreased</w:t>
            </w:r>
            <w:r w:rsidRPr="00645B2D">
              <w:t xml:space="preserve"> in the CTSP group. Suicidal ideation </w:t>
            </w:r>
            <w:r>
              <w:t>decreased in CTSP group.</w:t>
            </w:r>
            <w:r w:rsidRPr="00645B2D">
              <w:t xml:space="preserve"> </w:t>
            </w:r>
          </w:p>
        </w:tc>
        <w:tc>
          <w:tcPr>
            <w:tcW w:w="1834" w:type="dxa"/>
            <w:tcBorders>
              <w:top w:val="nil"/>
              <w:left w:val="nil"/>
              <w:bottom w:val="single" w:sz="4" w:space="0" w:color="auto"/>
              <w:right w:val="single" w:sz="4" w:space="0" w:color="auto"/>
            </w:tcBorders>
            <w:shd w:val="clear" w:color="auto" w:fill="auto"/>
            <w:hideMark/>
          </w:tcPr>
          <w:p w14:paraId="5E104426" w14:textId="77777777" w:rsidR="00C92EB7" w:rsidRDefault="00C92EB7" w:rsidP="00A40DEB">
            <w:pPr>
              <w:rPr>
                <w:color w:val="000000"/>
              </w:rPr>
            </w:pPr>
            <w:r w:rsidRPr="00225C20">
              <w:rPr>
                <w:b/>
                <w:bCs/>
                <w:color w:val="000000"/>
              </w:rPr>
              <w:t>Risk Factors</w:t>
            </w:r>
            <w:r w:rsidRPr="00645B2D">
              <w:rPr>
                <w:color w:val="000000"/>
              </w:rPr>
              <w:t xml:space="preserve">: on descriptive abuse/violence </w:t>
            </w:r>
            <w:r>
              <w:rPr>
                <w:b/>
                <w:bCs/>
                <w:color w:val="000000"/>
              </w:rPr>
              <w:t>O</w:t>
            </w:r>
            <w:r w:rsidRPr="00225C20">
              <w:rPr>
                <w:b/>
                <w:bCs/>
                <w:color w:val="000000"/>
              </w:rPr>
              <w:t>utcomes</w:t>
            </w:r>
            <w:r w:rsidRPr="00645B2D">
              <w:rPr>
                <w:color w:val="000000"/>
              </w:rPr>
              <w:t>: poor mental health</w:t>
            </w:r>
          </w:p>
          <w:p w14:paraId="31136050" w14:textId="77777777" w:rsidR="00C92EB7" w:rsidRPr="00645B2D" w:rsidRDefault="00C92EB7" w:rsidP="00A40DEB">
            <w:pPr>
              <w:rPr>
                <w:color w:val="000000"/>
              </w:rPr>
            </w:pPr>
            <w:r w:rsidRPr="00FB5D32">
              <w:rPr>
                <w:b/>
                <w:bCs/>
                <w:color w:val="000000"/>
              </w:rPr>
              <w:t>Intervention</w:t>
            </w:r>
            <w:r>
              <w:rPr>
                <w:color w:val="000000"/>
              </w:rPr>
              <w:t xml:space="preserve">: CTSP improves mental health status amongst YEH, compared to those not receiving CTSP </w:t>
            </w:r>
            <w:r w:rsidRPr="00645B2D">
              <w:rPr>
                <w:color w:val="000000"/>
              </w:rPr>
              <w:t xml:space="preserve"> </w:t>
            </w:r>
          </w:p>
        </w:tc>
      </w:tr>
    </w:tbl>
    <w:p w14:paraId="18F5AEC2" w14:textId="77777777" w:rsidR="00C92EB7" w:rsidRPr="006B5A1B" w:rsidRDefault="00C92EB7" w:rsidP="00C92EB7">
      <w:pPr>
        <w:rPr>
          <w:rFonts w:asciiTheme="majorHAnsi" w:hAnsiTheme="majorHAnsi" w:cstheme="majorHAnsi"/>
        </w:rPr>
      </w:pPr>
    </w:p>
    <w:p w14:paraId="243DFA3B" w14:textId="77777777" w:rsidR="00C92EB7" w:rsidRPr="006B5A1B" w:rsidRDefault="00C92EB7" w:rsidP="00C92EB7">
      <w:pPr>
        <w:spacing w:line="360" w:lineRule="auto"/>
        <w:rPr>
          <w:rFonts w:asciiTheme="majorHAnsi" w:hAnsiTheme="majorHAnsi" w:cstheme="majorHAnsi"/>
        </w:rPr>
      </w:pPr>
      <w:r w:rsidRPr="006B5A1B">
        <w:rPr>
          <w:rFonts w:asciiTheme="majorHAnsi" w:hAnsiTheme="majorHAnsi" w:cstheme="majorHAnsi"/>
        </w:rPr>
        <w:tab/>
        <w:t>Table 1</w:t>
      </w:r>
      <w:r>
        <w:rPr>
          <w:rFonts w:asciiTheme="majorHAnsi" w:hAnsiTheme="majorHAnsi" w:cstheme="majorHAnsi"/>
        </w:rPr>
        <w:t>. Literature Review Data</w:t>
      </w:r>
      <w:r w:rsidRPr="006B5A1B">
        <w:rPr>
          <w:rFonts w:asciiTheme="majorHAnsi" w:hAnsiTheme="majorHAnsi" w:cstheme="majorHAnsi"/>
        </w:rPr>
        <w:t xml:space="preserve"> contains data collected from the literature review.  This data was collected analyzed</w:t>
      </w:r>
      <w:r>
        <w:rPr>
          <w:rFonts w:asciiTheme="majorHAnsi" w:hAnsiTheme="majorHAnsi" w:cstheme="majorHAnsi"/>
        </w:rPr>
        <w:t xml:space="preserve"> with respect to established measurements</w:t>
      </w:r>
      <w:r w:rsidRPr="006B5A1B">
        <w:rPr>
          <w:rFonts w:asciiTheme="majorHAnsi" w:hAnsiTheme="majorHAnsi" w:cstheme="majorHAnsi"/>
        </w:rPr>
        <w:t xml:space="preserve"> and organized with column headings of </w:t>
      </w:r>
      <w:r>
        <w:rPr>
          <w:rFonts w:asciiTheme="majorHAnsi" w:hAnsiTheme="majorHAnsi" w:cstheme="majorHAnsi"/>
        </w:rPr>
        <w:t>“Citation”, “Age”, “Location”, “Study Design”, “O</w:t>
      </w:r>
      <w:r w:rsidRPr="006B5A1B">
        <w:rPr>
          <w:rFonts w:asciiTheme="majorHAnsi" w:hAnsiTheme="majorHAnsi" w:cstheme="majorHAnsi"/>
        </w:rPr>
        <w:t>bjective(s)</w:t>
      </w:r>
      <w:r>
        <w:rPr>
          <w:rFonts w:asciiTheme="majorHAnsi" w:hAnsiTheme="majorHAnsi" w:cstheme="majorHAnsi"/>
        </w:rPr>
        <w:t>”</w:t>
      </w:r>
      <w:r w:rsidRPr="006B5A1B">
        <w:rPr>
          <w:rFonts w:asciiTheme="majorHAnsi" w:hAnsiTheme="majorHAnsi" w:cstheme="majorHAnsi"/>
        </w:rPr>
        <w:t xml:space="preserve">, </w:t>
      </w:r>
      <w:r>
        <w:rPr>
          <w:rFonts w:asciiTheme="majorHAnsi" w:hAnsiTheme="majorHAnsi" w:cstheme="majorHAnsi"/>
        </w:rPr>
        <w:t xml:space="preserve">“Notable Results”, </w:t>
      </w:r>
      <w:r w:rsidRPr="006B5A1B">
        <w:rPr>
          <w:rFonts w:asciiTheme="majorHAnsi" w:hAnsiTheme="majorHAnsi" w:cstheme="majorHAnsi"/>
        </w:rPr>
        <w:t xml:space="preserve">and </w:t>
      </w:r>
      <w:r>
        <w:rPr>
          <w:rFonts w:asciiTheme="majorHAnsi" w:hAnsiTheme="majorHAnsi" w:cstheme="majorHAnsi"/>
        </w:rPr>
        <w:t>“Themes”</w:t>
      </w:r>
      <w:r w:rsidRPr="006B5A1B">
        <w:rPr>
          <w:rFonts w:asciiTheme="majorHAnsi" w:hAnsiTheme="majorHAnsi" w:cstheme="majorHAnsi"/>
        </w:rPr>
        <w:t>.</w:t>
      </w:r>
      <w:r>
        <w:rPr>
          <w:rFonts w:asciiTheme="majorHAnsi" w:hAnsiTheme="majorHAnsi" w:cstheme="majorHAnsi"/>
        </w:rPr>
        <w:t xml:space="preserve">  Information reflected within </w:t>
      </w:r>
      <w:proofErr w:type="gramStart"/>
      <w:r>
        <w:rPr>
          <w:rFonts w:asciiTheme="majorHAnsi" w:hAnsiTheme="majorHAnsi" w:cstheme="majorHAnsi"/>
        </w:rPr>
        <w:t>data</w:t>
      </w:r>
      <w:proofErr w:type="gramEnd"/>
      <w:r>
        <w:rPr>
          <w:rFonts w:asciiTheme="majorHAnsi" w:hAnsiTheme="majorHAnsi" w:cstheme="majorHAnsi"/>
        </w:rPr>
        <w:t xml:space="preserve"> table was derived from publications as noted in Table 1. </w:t>
      </w:r>
      <w:r w:rsidRPr="00645B2D">
        <w:rPr>
          <w:color w:val="000000"/>
        </w:rPr>
        <w:t>Literature Review Data</w:t>
      </w:r>
      <w:r>
        <w:rPr>
          <w:rFonts w:asciiTheme="majorHAnsi" w:hAnsiTheme="majorHAnsi" w:cstheme="majorHAnsi"/>
        </w:rPr>
        <w:t xml:space="preserve">, column “Citation”, with complete citation located in “References” section.   </w:t>
      </w:r>
    </w:p>
    <w:p w14:paraId="78B57449" w14:textId="77777777" w:rsidR="00C92EB7" w:rsidRPr="006B5A1B" w:rsidRDefault="00C92EB7" w:rsidP="00C92EB7">
      <w:pPr>
        <w:rPr>
          <w:rFonts w:asciiTheme="majorHAnsi" w:hAnsiTheme="majorHAnsi" w:cstheme="majorHAnsi"/>
        </w:rPr>
      </w:pPr>
    </w:p>
    <w:p w14:paraId="643AFFF7" w14:textId="77777777" w:rsidR="00C92EB7" w:rsidRPr="006B5A1B" w:rsidRDefault="00C92EB7" w:rsidP="00C92EB7">
      <w:pPr>
        <w:rPr>
          <w:rFonts w:asciiTheme="majorHAnsi" w:hAnsiTheme="majorHAnsi" w:cstheme="majorHAnsi"/>
        </w:rPr>
      </w:pPr>
    </w:p>
    <w:p w14:paraId="467A92DA" w14:textId="77777777" w:rsidR="00C92EB7" w:rsidRPr="006B5A1B" w:rsidRDefault="00C92EB7" w:rsidP="00C92EB7">
      <w:pPr>
        <w:rPr>
          <w:rFonts w:asciiTheme="majorHAnsi" w:hAnsiTheme="majorHAnsi" w:cstheme="majorHAnsi"/>
        </w:rPr>
      </w:pPr>
    </w:p>
    <w:p w14:paraId="67609327" w14:textId="77777777" w:rsidR="00C92EB7" w:rsidRPr="006B5A1B" w:rsidRDefault="00C92EB7" w:rsidP="00C92EB7">
      <w:pPr>
        <w:rPr>
          <w:rFonts w:asciiTheme="majorHAnsi" w:hAnsiTheme="majorHAnsi" w:cstheme="majorHAnsi"/>
        </w:rPr>
      </w:pPr>
    </w:p>
    <w:p w14:paraId="7EFA36D3" w14:textId="77777777" w:rsidR="00C92EB7" w:rsidRPr="006B5A1B" w:rsidRDefault="00C92EB7" w:rsidP="00C92EB7">
      <w:pPr>
        <w:rPr>
          <w:rFonts w:asciiTheme="majorHAnsi" w:hAnsiTheme="majorHAnsi" w:cstheme="majorHAnsi"/>
        </w:rPr>
      </w:pPr>
    </w:p>
    <w:p w14:paraId="60163FED" w14:textId="77777777" w:rsidR="00C92EB7" w:rsidRDefault="00C92EB7" w:rsidP="00C92EB7">
      <w:pPr>
        <w:rPr>
          <w:rFonts w:asciiTheme="majorHAnsi" w:hAnsiTheme="majorHAnsi" w:cstheme="majorHAnsi"/>
          <w:b/>
          <w:bCs/>
        </w:rPr>
      </w:pPr>
    </w:p>
    <w:p w14:paraId="509F49ED" w14:textId="77777777" w:rsidR="00C92EB7" w:rsidRDefault="00C92EB7" w:rsidP="00C92EB7">
      <w:pPr>
        <w:rPr>
          <w:rFonts w:asciiTheme="majorHAnsi" w:hAnsiTheme="majorHAnsi" w:cstheme="majorHAnsi"/>
          <w:b/>
          <w:bCs/>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2542"/>
        <w:gridCol w:w="2790"/>
        <w:gridCol w:w="3690"/>
        <w:gridCol w:w="2340"/>
      </w:tblGrid>
      <w:tr w:rsidR="00C92EB7" w:rsidRPr="0068104D" w14:paraId="09E15C32" w14:textId="77777777" w:rsidTr="00A40DEB">
        <w:trPr>
          <w:trHeight w:val="320"/>
        </w:trPr>
        <w:tc>
          <w:tcPr>
            <w:tcW w:w="13045" w:type="dxa"/>
            <w:gridSpan w:val="5"/>
            <w:shd w:val="clear" w:color="auto" w:fill="auto"/>
            <w:noWrap/>
            <w:hideMark/>
          </w:tcPr>
          <w:p w14:paraId="09E3F958" w14:textId="77777777" w:rsidR="00C92EB7" w:rsidRPr="0068104D" w:rsidRDefault="00C92EB7" w:rsidP="00A40DEB">
            <w:pPr>
              <w:rPr>
                <w:rFonts w:asciiTheme="majorHAnsi" w:hAnsiTheme="majorHAnsi" w:cstheme="majorHAnsi"/>
              </w:rPr>
            </w:pPr>
            <w:r w:rsidRPr="0068104D">
              <w:rPr>
                <w:rFonts w:asciiTheme="majorHAnsi" w:hAnsiTheme="majorHAnsi" w:cstheme="majorHAnsi"/>
              </w:rPr>
              <w:t xml:space="preserve">Table 2. Content Analysis of youth.gov Data </w:t>
            </w:r>
          </w:p>
        </w:tc>
      </w:tr>
      <w:tr w:rsidR="00C92EB7" w:rsidRPr="0068104D" w14:paraId="0FFBB2FA" w14:textId="77777777" w:rsidTr="00A40DEB">
        <w:trPr>
          <w:trHeight w:val="320"/>
        </w:trPr>
        <w:tc>
          <w:tcPr>
            <w:tcW w:w="1683" w:type="dxa"/>
            <w:shd w:val="clear" w:color="auto" w:fill="auto"/>
            <w:noWrap/>
            <w:hideMark/>
          </w:tcPr>
          <w:p w14:paraId="259A989F" w14:textId="77777777" w:rsidR="00C92EB7" w:rsidRPr="0068104D" w:rsidRDefault="00C92EB7" w:rsidP="00A40DEB">
            <w:pPr>
              <w:jc w:val="center"/>
              <w:rPr>
                <w:rFonts w:asciiTheme="majorHAnsi" w:hAnsiTheme="majorHAnsi" w:cstheme="majorHAnsi"/>
              </w:rPr>
            </w:pPr>
            <w:r w:rsidRPr="0068104D">
              <w:rPr>
                <w:rFonts w:asciiTheme="majorHAnsi" w:hAnsiTheme="majorHAnsi" w:cstheme="majorHAnsi"/>
              </w:rPr>
              <w:t>Program</w:t>
            </w:r>
          </w:p>
        </w:tc>
        <w:tc>
          <w:tcPr>
            <w:tcW w:w="2542" w:type="dxa"/>
            <w:shd w:val="clear" w:color="auto" w:fill="auto"/>
            <w:noWrap/>
            <w:hideMark/>
          </w:tcPr>
          <w:p w14:paraId="36DDD6EA" w14:textId="77777777" w:rsidR="00C92EB7" w:rsidRPr="0068104D" w:rsidRDefault="00C92EB7" w:rsidP="00A40DEB">
            <w:pPr>
              <w:jc w:val="center"/>
              <w:rPr>
                <w:rFonts w:asciiTheme="majorHAnsi" w:hAnsiTheme="majorHAnsi" w:cstheme="majorHAnsi"/>
              </w:rPr>
            </w:pPr>
            <w:r w:rsidRPr="0068104D">
              <w:rPr>
                <w:rFonts w:asciiTheme="majorHAnsi" w:hAnsiTheme="majorHAnsi" w:cstheme="majorHAnsi"/>
              </w:rPr>
              <w:t>Target Population</w:t>
            </w:r>
          </w:p>
        </w:tc>
        <w:tc>
          <w:tcPr>
            <w:tcW w:w="2790" w:type="dxa"/>
            <w:shd w:val="clear" w:color="auto" w:fill="auto"/>
            <w:noWrap/>
            <w:hideMark/>
          </w:tcPr>
          <w:p w14:paraId="778AAFF6" w14:textId="77777777" w:rsidR="00C92EB7" w:rsidRPr="0068104D" w:rsidRDefault="00C92EB7" w:rsidP="00A40DEB">
            <w:pPr>
              <w:jc w:val="center"/>
              <w:rPr>
                <w:rFonts w:asciiTheme="majorHAnsi" w:hAnsiTheme="majorHAnsi" w:cstheme="majorHAnsi"/>
              </w:rPr>
            </w:pPr>
            <w:r w:rsidRPr="0068104D">
              <w:rPr>
                <w:rFonts w:asciiTheme="majorHAnsi" w:hAnsiTheme="majorHAnsi" w:cstheme="majorHAnsi"/>
              </w:rPr>
              <w:t>Objective(s)</w:t>
            </w:r>
          </w:p>
        </w:tc>
        <w:tc>
          <w:tcPr>
            <w:tcW w:w="3690" w:type="dxa"/>
            <w:shd w:val="clear" w:color="auto" w:fill="auto"/>
            <w:noWrap/>
            <w:hideMark/>
          </w:tcPr>
          <w:p w14:paraId="1E8D7238" w14:textId="77777777" w:rsidR="00C92EB7" w:rsidRPr="0068104D" w:rsidRDefault="00C92EB7" w:rsidP="00A40DEB">
            <w:pPr>
              <w:jc w:val="center"/>
              <w:rPr>
                <w:rFonts w:asciiTheme="majorHAnsi" w:hAnsiTheme="majorHAnsi" w:cstheme="majorHAnsi"/>
              </w:rPr>
            </w:pPr>
            <w:r w:rsidRPr="0068104D">
              <w:rPr>
                <w:rFonts w:asciiTheme="majorHAnsi" w:hAnsiTheme="majorHAnsi" w:cstheme="majorHAnsi"/>
              </w:rPr>
              <w:t>Outcomes</w:t>
            </w:r>
          </w:p>
        </w:tc>
        <w:tc>
          <w:tcPr>
            <w:tcW w:w="2340" w:type="dxa"/>
          </w:tcPr>
          <w:p w14:paraId="33639FF1" w14:textId="77777777" w:rsidR="00C92EB7" w:rsidRPr="0068104D" w:rsidRDefault="00C92EB7" w:rsidP="00A40DEB">
            <w:pPr>
              <w:jc w:val="center"/>
              <w:rPr>
                <w:rFonts w:asciiTheme="majorHAnsi" w:hAnsiTheme="majorHAnsi" w:cstheme="majorHAnsi"/>
              </w:rPr>
            </w:pPr>
            <w:r>
              <w:rPr>
                <w:rFonts w:asciiTheme="majorHAnsi" w:hAnsiTheme="majorHAnsi" w:cstheme="majorHAnsi"/>
              </w:rPr>
              <w:t>Program Focus</w:t>
            </w:r>
          </w:p>
        </w:tc>
      </w:tr>
      <w:tr w:rsidR="00C92EB7" w:rsidRPr="0068104D" w14:paraId="25FFA471" w14:textId="77777777" w:rsidTr="00A40DEB">
        <w:trPr>
          <w:trHeight w:val="782"/>
        </w:trPr>
        <w:tc>
          <w:tcPr>
            <w:tcW w:w="1683" w:type="dxa"/>
            <w:shd w:val="clear" w:color="auto" w:fill="auto"/>
            <w:hideMark/>
          </w:tcPr>
          <w:p w14:paraId="460DCCCE" w14:textId="292ED927" w:rsidR="00C92EB7" w:rsidRPr="007A1B3E" w:rsidRDefault="00C92EB7" w:rsidP="00A40DEB">
            <w:pPr>
              <w:rPr>
                <w:rFonts w:asciiTheme="majorHAnsi" w:hAnsiTheme="majorHAnsi" w:cstheme="majorHAnsi"/>
                <w:vertAlign w:val="superscript"/>
              </w:rPr>
            </w:pPr>
            <w:r w:rsidRPr="0068104D">
              <w:rPr>
                <w:rFonts w:asciiTheme="majorHAnsi" w:hAnsiTheme="majorHAnsi" w:cstheme="majorHAnsi"/>
              </w:rPr>
              <w:t>Family and Youth Services Bureau’s (FYSB) Runaway and Homeless Youth Prevention Demonstration Program</w:t>
            </w:r>
            <w:r w:rsidR="00387D48">
              <w:rPr>
                <w:rFonts w:asciiTheme="majorHAnsi" w:hAnsiTheme="majorHAnsi" w:cstheme="majorHAnsi"/>
                <w:vertAlign w:val="superscript"/>
              </w:rPr>
              <w:t>17</w:t>
            </w:r>
          </w:p>
        </w:tc>
        <w:tc>
          <w:tcPr>
            <w:tcW w:w="2542" w:type="dxa"/>
            <w:shd w:val="clear" w:color="auto" w:fill="auto"/>
            <w:hideMark/>
          </w:tcPr>
          <w:p w14:paraId="1A76C637" w14:textId="2ACF867D"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 xml:space="preserve">Youth and young adults </w:t>
            </w:r>
            <w:proofErr w:type="gramStart"/>
            <w:r w:rsidRPr="0068104D">
              <w:rPr>
                <w:rFonts w:asciiTheme="majorHAnsi" w:hAnsiTheme="majorHAnsi" w:cstheme="majorHAnsi"/>
              </w:rPr>
              <w:t>under age</w:t>
            </w:r>
            <w:proofErr w:type="gramEnd"/>
            <w:r w:rsidRPr="0068104D">
              <w:rPr>
                <w:rFonts w:asciiTheme="majorHAnsi" w:hAnsiTheme="majorHAnsi" w:cstheme="majorHAnsi"/>
              </w:rPr>
              <w:t xml:space="preserve"> 22 who are experiencing homelessness or at risk for homelessness</w:t>
            </w:r>
            <w:r>
              <w:rPr>
                <w:rFonts w:asciiTheme="majorHAnsi" w:hAnsiTheme="majorHAnsi" w:cstheme="majorHAnsi"/>
              </w:rPr>
              <w:t>.</w:t>
            </w:r>
            <w:r>
              <w:rPr>
                <w:rFonts w:asciiTheme="majorHAnsi" w:hAnsiTheme="majorHAnsi" w:cstheme="majorHAnsi"/>
                <w:vertAlign w:val="superscript"/>
              </w:rPr>
              <w:t>4</w:t>
            </w:r>
            <w:r w:rsidR="00387D48">
              <w:rPr>
                <w:rFonts w:asciiTheme="majorHAnsi" w:hAnsiTheme="majorHAnsi" w:cstheme="majorHAnsi"/>
                <w:vertAlign w:val="superscript"/>
              </w:rPr>
              <w:t>3</w:t>
            </w:r>
          </w:p>
        </w:tc>
        <w:tc>
          <w:tcPr>
            <w:tcW w:w="2790" w:type="dxa"/>
            <w:shd w:val="clear" w:color="auto" w:fill="auto"/>
            <w:hideMark/>
          </w:tcPr>
          <w:p w14:paraId="599EFB7A" w14:textId="71274FF5" w:rsidR="00C92EB7" w:rsidRPr="0068104D" w:rsidRDefault="00C92EB7" w:rsidP="00A40DEB">
            <w:pPr>
              <w:rPr>
                <w:rFonts w:asciiTheme="majorHAnsi" w:hAnsiTheme="majorHAnsi" w:cstheme="majorHAnsi"/>
              </w:rPr>
            </w:pPr>
            <w:r w:rsidRPr="0068104D">
              <w:rPr>
                <w:rFonts w:asciiTheme="majorHAnsi" w:hAnsiTheme="majorHAnsi" w:cstheme="majorHAnsi"/>
              </w:rPr>
              <w:t>Provide grants to increase protective factors and give youth, young adults, and their families the resources they need to avoid homelessness through providing direct intervention and preventative aid.</w:t>
            </w:r>
            <w:r>
              <w:rPr>
                <w:rFonts w:asciiTheme="majorHAnsi" w:hAnsiTheme="majorHAnsi" w:cstheme="majorHAnsi"/>
                <w:vertAlign w:val="superscript"/>
              </w:rPr>
              <w:t>4</w:t>
            </w:r>
            <w:r w:rsidR="00387D48">
              <w:rPr>
                <w:rFonts w:asciiTheme="majorHAnsi" w:hAnsiTheme="majorHAnsi" w:cstheme="majorHAnsi"/>
                <w:vertAlign w:val="superscript"/>
              </w:rPr>
              <w:t>3</w:t>
            </w:r>
            <w:r w:rsidRPr="0068104D">
              <w:rPr>
                <w:rFonts w:asciiTheme="majorHAnsi" w:hAnsiTheme="majorHAnsi" w:cstheme="majorHAnsi"/>
              </w:rPr>
              <w:t xml:space="preserve">  </w:t>
            </w:r>
          </w:p>
        </w:tc>
        <w:tc>
          <w:tcPr>
            <w:tcW w:w="3690" w:type="dxa"/>
            <w:shd w:val="clear" w:color="auto" w:fill="auto"/>
            <w:hideMark/>
          </w:tcPr>
          <w:p w14:paraId="43226CCF" w14:textId="1DCE6258"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 xml:space="preserve">Through the development and coordination of partnerships with youth and young adult service providers and community organizations, these programs provide holistic prevention services tailored for youth and young adults to respond to their diverse needs to address both direct housing solutions and preventative measures.  FY 2023 provided grants totaling $3,832,817 that were used to fund 4 primary programs such as Basic Center Programs, Street Outreach Programs, </w:t>
            </w:r>
            <w:r>
              <w:rPr>
                <w:rFonts w:asciiTheme="majorHAnsi" w:hAnsiTheme="majorHAnsi" w:cstheme="majorHAnsi"/>
              </w:rPr>
              <w:t>Transitional</w:t>
            </w:r>
            <w:r w:rsidRPr="0068104D">
              <w:rPr>
                <w:rFonts w:asciiTheme="majorHAnsi" w:hAnsiTheme="majorHAnsi" w:cstheme="majorHAnsi"/>
              </w:rPr>
              <w:t xml:space="preserve"> Living Programs, and Maternity Group Homes, as well as funding for 11 new programs Covenant House Alaska (Anchorage, Alaska), Our Family Services (Tucson, Ariz.), Karis Inc. (Grand Junction, Colo.), Sasha Bruce Youthwork Inc. (Washington, D.C), Florida Network of Youth and Family Services (Tallahassee, Fla.), Waypoint (Manchester, N.H.), Lighthouse Youth Services (Cincinnati, Ohio), Valley Youth House (Bethlehem, Pa.), Pendleton </w:t>
            </w:r>
            <w:r w:rsidRPr="0068104D">
              <w:rPr>
                <w:rFonts w:asciiTheme="majorHAnsi" w:hAnsiTheme="majorHAnsi" w:cstheme="majorHAnsi"/>
              </w:rPr>
              <w:lastRenderedPageBreak/>
              <w:t>Place (Greenville, S.C.), Oasis Center Inc. (Nashville, Tenn.)</w:t>
            </w:r>
            <w:r w:rsidRPr="0068104D">
              <w:rPr>
                <w:rFonts w:asciiTheme="majorHAnsi" w:hAnsiTheme="majorHAnsi" w:cstheme="majorHAnsi"/>
              </w:rPr>
              <w:br/>
              <w:t>Seasons of Change (Arlington, Texas).</w:t>
            </w:r>
            <w:r>
              <w:rPr>
                <w:rFonts w:asciiTheme="majorHAnsi" w:hAnsiTheme="majorHAnsi" w:cstheme="majorHAnsi"/>
                <w:vertAlign w:val="superscript"/>
              </w:rPr>
              <w:t>4</w:t>
            </w:r>
            <w:r w:rsidR="00387D48">
              <w:rPr>
                <w:rFonts w:asciiTheme="majorHAnsi" w:hAnsiTheme="majorHAnsi" w:cstheme="majorHAnsi"/>
                <w:vertAlign w:val="superscript"/>
              </w:rPr>
              <w:t>3</w:t>
            </w:r>
          </w:p>
        </w:tc>
        <w:tc>
          <w:tcPr>
            <w:tcW w:w="2340" w:type="dxa"/>
          </w:tcPr>
          <w:p w14:paraId="1AB513D9" w14:textId="77777777" w:rsidR="00C92EB7" w:rsidRDefault="00C92EB7" w:rsidP="00A40DEB">
            <w:pPr>
              <w:rPr>
                <w:rFonts w:asciiTheme="majorHAnsi" w:hAnsiTheme="majorHAnsi" w:cstheme="majorHAnsi"/>
              </w:rPr>
            </w:pPr>
            <w:r>
              <w:rPr>
                <w:rFonts w:asciiTheme="majorHAnsi" w:hAnsiTheme="majorHAnsi" w:cstheme="majorHAnsi"/>
              </w:rPr>
              <w:lastRenderedPageBreak/>
              <w:t>Housing</w:t>
            </w:r>
          </w:p>
          <w:p w14:paraId="2FC72CB9" w14:textId="77777777" w:rsidR="00C92EB7" w:rsidRDefault="00C92EB7" w:rsidP="00A40DEB">
            <w:pPr>
              <w:rPr>
                <w:rFonts w:asciiTheme="majorHAnsi" w:hAnsiTheme="majorHAnsi" w:cstheme="majorHAnsi"/>
              </w:rPr>
            </w:pPr>
            <w:r>
              <w:rPr>
                <w:rFonts w:asciiTheme="majorHAnsi" w:hAnsiTheme="majorHAnsi" w:cstheme="majorHAnsi"/>
              </w:rPr>
              <w:t>Nutritional Support</w:t>
            </w:r>
          </w:p>
          <w:p w14:paraId="070B743A" w14:textId="77777777" w:rsidR="00C92EB7" w:rsidRDefault="00C92EB7" w:rsidP="00A40DEB">
            <w:pPr>
              <w:rPr>
                <w:rFonts w:asciiTheme="majorHAnsi" w:hAnsiTheme="majorHAnsi" w:cstheme="majorHAnsi"/>
              </w:rPr>
            </w:pPr>
            <w:r>
              <w:rPr>
                <w:rFonts w:asciiTheme="majorHAnsi" w:hAnsiTheme="majorHAnsi" w:cstheme="majorHAnsi"/>
              </w:rPr>
              <w:t>Supportive Services</w:t>
            </w:r>
          </w:p>
          <w:p w14:paraId="5D767F54" w14:textId="77777777" w:rsidR="00C92EB7" w:rsidRPr="0068104D" w:rsidRDefault="00C92EB7" w:rsidP="00A40DEB">
            <w:pPr>
              <w:rPr>
                <w:rFonts w:asciiTheme="majorHAnsi" w:hAnsiTheme="majorHAnsi" w:cstheme="majorHAnsi"/>
              </w:rPr>
            </w:pPr>
          </w:p>
        </w:tc>
      </w:tr>
      <w:tr w:rsidR="00C92EB7" w:rsidRPr="0068104D" w14:paraId="45C36916" w14:textId="77777777" w:rsidTr="00A40DEB">
        <w:trPr>
          <w:trHeight w:val="2402"/>
        </w:trPr>
        <w:tc>
          <w:tcPr>
            <w:tcW w:w="1683" w:type="dxa"/>
            <w:shd w:val="clear" w:color="auto" w:fill="auto"/>
            <w:hideMark/>
          </w:tcPr>
          <w:p w14:paraId="5B543E3E" w14:textId="14F539FB" w:rsidR="00C92EB7" w:rsidRPr="007A1B3E" w:rsidRDefault="00C92EB7" w:rsidP="00A40DEB">
            <w:pPr>
              <w:rPr>
                <w:rFonts w:asciiTheme="majorHAnsi" w:hAnsiTheme="majorHAnsi" w:cstheme="majorHAnsi"/>
                <w:vertAlign w:val="superscript"/>
              </w:rPr>
            </w:pPr>
            <w:r w:rsidRPr="0068104D">
              <w:rPr>
                <w:rFonts w:asciiTheme="majorHAnsi" w:hAnsiTheme="majorHAnsi" w:cstheme="majorHAnsi"/>
              </w:rPr>
              <w:t>Family and Youth Services Bureau’s (FYSB) Basic Center Program</w:t>
            </w:r>
            <w:r>
              <w:rPr>
                <w:rFonts w:asciiTheme="majorHAnsi" w:hAnsiTheme="majorHAnsi" w:cstheme="majorHAnsi"/>
              </w:rPr>
              <w:t xml:space="preserve"> (BCP)</w:t>
            </w:r>
            <w:r w:rsidR="00387D48">
              <w:rPr>
                <w:rFonts w:asciiTheme="majorHAnsi" w:hAnsiTheme="majorHAnsi" w:cstheme="majorHAnsi"/>
                <w:vertAlign w:val="superscript"/>
              </w:rPr>
              <w:t>17</w:t>
            </w:r>
          </w:p>
        </w:tc>
        <w:tc>
          <w:tcPr>
            <w:tcW w:w="2542" w:type="dxa"/>
            <w:shd w:val="clear" w:color="auto" w:fill="auto"/>
            <w:hideMark/>
          </w:tcPr>
          <w:p w14:paraId="49E4BD65" w14:textId="308AB9D8"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Runaway and homeless youth and their families</w:t>
            </w:r>
            <w:r>
              <w:rPr>
                <w:rFonts w:asciiTheme="majorHAnsi" w:hAnsiTheme="majorHAnsi" w:cstheme="majorHAnsi"/>
              </w:rPr>
              <w:t>.</w:t>
            </w:r>
            <w:r>
              <w:rPr>
                <w:rFonts w:asciiTheme="majorHAnsi" w:hAnsiTheme="majorHAnsi" w:cstheme="majorHAnsi"/>
                <w:vertAlign w:val="superscript"/>
              </w:rPr>
              <w:t>4</w:t>
            </w:r>
            <w:r w:rsidR="00387D48">
              <w:rPr>
                <w:rFonts w:asciiTheme="majorHAnsi" w:hAnsiTheme="majorHAnsi" w:cstheme="majorHAnsi"/>
                <w:vertAlign w:val="superscript"/>
              </w:rPr>
              <w:t>4</w:t>
            </w:r>
          </w:p>
        </w:tc>
        <w:tc>
          <w:tcPr>
            <w:tcW w:w="2790" w:type="dxa"/>
            <w:shd w:val="clear" w:color="auto" w:fill="auto"/>
            <w:hideMark/>
          </w:tcPr>
          <w:p w14:paraId="6742A29B" w14:textId="3C87A1B4"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Provides up to 21 days of shelter, food, clothing, and medical care, individual, group, and family counseling, crisis intervention, recreation programs, and aftercare services.</w:t>
            </w:r>
            <w:r>
              <w:rPr>
                <w:rFonts w:asciiTheme="majorHAnsi" w:hAnsiTheme="majorHAnsi" w:cstheme="majorHAnsi"/>
                <w:vertAlign w:val="superscript"/>
              </w:rPr>
              <w:t>4</w:t>
            </w:r>
            <w:r w:rsidR="00387D48">
              <w:rPr>
                <w:rFonts w:asciiTheme="majorHAnsi" w:hAnsiTheme="majorHAnsi" w:cstheme="majorHAnsi"/>
                <w:vertAlign w:val="superscript"/>
              </w:rPr>
              <w:t>4</w:t>
            </w:r>
          </w:p>
        </w:tc>
        <w:tc>
          <w:tcPr>
            <w:tcW w:w="3690" w:type="dxa"/>
            <w:shd w:val="clear" w:color="auto" w:fill="auto"/>
            <w:hideMark/>
          </w:tcPr>
          <w:p w14:paraId="02650920" w14:textId="2853C374"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 xml:space="preserve">Helps create and strengthen community-based programs to meet the immediate needs of </w:t>
            </w:r>
            <w:proofErr w:type="gramStart"/>
            <w:r w:rsidRPr="0068104D">
              <w:rPr>
                <w:rFonts w:asciiTheme="majorHAnsi" w:hAnsiTheme="majorHAnsi" w:cstheme="majorHAnsi"/>
              </w:rPr>
              <w:t>youth</w:t>
            </w:r>
            <w:proofErr w:type="gramEnd"/>
            <w:r w:rsidRPr="0068104D">
              <w:rPr>
                <w:rFonts w:asciiTheme="majorHAnsi" w:hAnsiTheme="majorHAnsi" w:cstheme="majorHAnsi"/>
              </w:rPr>
              <w:t xml:space="preserve"> under the age of 18 who have runaway, are experiencing homelessness, or housing instability. In 2018, BCPs provided emergency shelter for more than 20,800 youth and prevention services for an additional 7,700 young people.  As of FY2020, FYSB funds 223 </w:t>
            </w:r>
            <w:r>
              <w:rPr>
                <w:rFonts w:asciiTheme="majorHAnsi" w:hAnsiTheme="majorHAnsi" w:cstheme="majorHAnsi"/>
              </w:rPr>
              <w:t>BCP</w:t>
            </w:r>
            <w:r w:rsidRPr="0068104D">
              <w:rPr>
                <w:rFonts w:asciiTheme="majorHAnsi" w:hAnsiTheme="majorHAnsi" w:cstheme="majorHAnsi"/>
              </w:rPr>
              <w:t xml:space="preserve"> grantee programs totaling more than $56 million.</w:t>
            </w:r>
            <w:r>
              <w:rPr>
                <w:rFonts w:asciiTheme="majorHAnsi" w:hAnsiTheme="majorHAnsi" w:cstheme="majorHAnsi"/>
                <w:vertAlign w:val="superscript"/>
              </w:rPr>
              <w:t>4</w:t>
            </w:r>
            <w:r w:rsidR="00387D48">
              <w:rPr>
                <w:rFonts w:asciiTheme="majorHAnsi" w:hAnsiTheme="majorHAnsi" w:cstheme="majorHAnsi"/>
                <w:vertAlign w:val="superscript"/>
              </w:rPr>
              <w:t>4</w:t>
            </w:r>
          </w:p>
        </w:tc>
        <w:tc>
          <w:tcPr>
            <w:tcW w:w="2340" w:type="dxa"/>
          </w:tcPr>
          <w:p w14:paraId="791BCAEB" w14:textId="77777777" w:rsidR="00C92EB7" w:rsidRDefault="00C92EB7" w:rsidP="00A40DEB">
            <w:pPr>
              <w:rPr>
                <w:rFonts w:asciiTheme="majorHAnsi" w:hAnsiTheme="majorHAnsi" w:cstheme="majorHAnsi"/>
              </w:rPr>
            </w:pPr>
            <w:r>
              <w:rPr>
                <w:rFonts w:asciiTheme="majorHAnsi" w:hAnsiTheme="majorHAnsi" w:cstheme="majorHAnsi"/>
              </w:rPr>
              <w:t>Housing</w:t>
            </w:r>
          </w:p>
          <w:p w14:paraId="3A447F5A" w14:textId="77777777" w:rsidR="00C92EB7" w:rsidRDefault="00C92EB7" w:rsidP="00A40DEB">
            <w:pPr>
              <w:rPr>
                <w:rFonts w:asciiTheme="majorHAnsi" w:hAnsiTheme="majorHAnsi" w:cstheme="majorHAnsi"/>
              </w:rPr>
            </w:pPr>
            <w:r>
              <w:rPr>
                <w:rFonts w:asciiTheme="majorHAnsi" w:hAnsiTheme="majorHAnsi" w:cstheme="majorHAnsi"/>
              </w:rPr>
              <w:t>Nutritional Support</w:t>
            </w:r>
          </w:p>
          <w:p w14:paraId="70D67257" w14:textId="77777777" w:rsidR="00C92EB7" w:rsidRDefault="00C92EB7" w:rsidP="00A40DEB">
            <w:pPr>
              <w:rPr>
                <w:rFonts w:asciiTheme="majorHAnsi" w:hAnsiTheme="majorHAnsi" w:cstheme="majorHAnsi"/>
              </w:rPr>
            </w:pPr>
            <w:r>
              <w:rPr>
                <w:rFonts w:asciiTheme="majorHAnsi" w:hAnsiTheme="majorHAnsi" w:cstheme="majorHAnsi"/>
              </w:rPr>
              <w:t>Supportive Services</w:t>
            </w:r>
          </w:p>
          <w:p w14:paraId="6DED5ADB" w14:textId="77777777" w:rsidR="00C92EB7" w:rsidRPr="0068104D" w:rsidRDefault="00C92EB7" w:rsidP="00A40DEB">
            <w:pPr>
              <w:rPr>
                <w:rFonts w:asciiTheme="majorHAnsi" w:hAnsiTheme="majorHAnsi" w:cstheme="majorHAnsi"/>
              </w:rPr>
            </w:pPr>
          </w:p>
        </w:tc>
      </w:tr>
      <w:tr w:rsidR="00C92EB7" w:rsidRPr="0068104D" w14:paraId="6741CEF3" w14:textId="77777777" w:rsidTr="00A40DEB">
        <w:trPr>
          <w:trHeight w:val="2132"/>
        </w:trPr>
        <w:tc>
          <w:tcPr>
            <w:tcW w:w="1683" w:type="dxa"/>
            <w:shd w:val="clear" w:color="auto" w:fill="auto"/>
            <w:hideMark/>
          </w:tcPr>
          <w:p w14:paraId="74A34FA0" w14:textId="4A8D557D" w:rsidR="00C92EB7" w:rsidRPr="007A1B3E" w:rsidRDefault="00C92EB7" w:rsidP="00A40DEB">
            <w:pPr>
              <w:rPr>
                <w:rFonts w:asciiTheme="majorHAnsi" w:hAnsiTheme="majorHAnsi" w:cstheme="majorHAnsi"/>
                <w:vertAlign w:val="superscript"/>
              </w:rPr>
            </w:pPr>
            <w:r w:rsidRPr="0068104D">
              <w:rPr>
                <w:rFonts w:asciiTheme="majorHAnsi" w:hAnsiTheme="majorHAnsi" w:cstheme="majorHAnsi"/>
              </w:rPr>
              <w:t>The Transitional Living Program for Older Homeless Youth</w:t>
            </w:r>
            <w:r w:rsidR="00387D48">
              <w:rPr>
                <w:rFonts w:asciiTheme="majorHAnsi" w:hAnsiTheme="majorHAnsi" w:cstheme="majorHAnsi"/>
                <w:vertAlign w:val="superscript"/>
              </w:rPr>
              <w:t>17</w:t>
            </w:r>
          </w:p>
        </w:tc>
        <w:tc>
          <w:tcPr>
            <w:tcW w:w="2542" w:type="dxa"/>
            <w:shd w:val="clear" w:color="auto" w:fill="auto"/>
            <w:hideMark/>
          </w:tcPr>
          <w:p w14:paraId="383296C6" w14:textId="6D43D487"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Youth aged 16 to 22 who are unable to return to their homes</w:t>
            </w:r>
            <w:r>
              <w:rPr>
                <w:rFonts w:asciiTheme="majorHAnsi" w:hAnsiTheme="majorHAnsi" w:cstheme="majorHAnsi"/>
              </w:rPr>
              <w:t>.</w:t>
            </w:r>
            <w:r>
              <w:rPr>
                <w:rFonts w:asciiTheme="majorHAnsi" w:hAnsiTheme="majorHAnsi" w:cstheme="majorHAnsi"/>
                <w:vertAlign w:val="superscript"/>
              </w:rPr>
              <w:t>4</w:t>
            </w:r>
            <w:r w:rsidR="00387D48">
              <w:rPr>
                <w:rFonts w:asciiTheme="majorHAnsi" w:hAnsiTheme="majorHAnsi" w:cstheme="majorHAnsi"/>
                <w:vertAlign w:val="superscript"/>
              </w:rPr>
              <w:t>5</w:t>
            </w:r>
          </w:p>
        </w:tc>
        <w:tc>
          <w:tcPr>
            <w:tcW w:w="2790" w:type="dxa"/>
            <w:shd w:val="clear" w:color="auto" w:fill="auto"/>
            <w:hideMark/>
          </w:tcPr>
          <w:p w14:paraId="07CF0845" w14:textId="6E8DA72F"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Provide long term residential services</w:t>
            </w:r>
            <w:r>
              <w:rPr>
                <w:rFonts w:asciiTheme="majorHAnsi" w:hAnsiTheme="majorHAnsi" w:cstheme="majorHAnsi"/>
              </w:rPr>
              <w:t>,</w:t>
            </w:r>
            <w:r w:rsidRPr="0068104D">
              <w:rPr>
                <w:rFonts w:asciiTheme="majorHAnsi" w:hAnsiTheme="majorHAnsi" w:cstheme="majorHAnsi"/>
              </w:rPr>
              <w:t xml:space="preserve"> as well as skills and educational training</w:t>
            </w:r>
            <w:r>
              <w:rPr>
                <w:rFonts w:asciiTheme="majorHAnsi" w:hAnsiTheme="majorHAnsi" w:cstheme="majorHAnsi"/>
              </w:rPr>
              <w:t>.</w:t>
            </w:r>
            <w:r>
              <w:rPr>
                <w:rFonts w:asciiTheme="majorHAnsi" w:hAnsiTheme="majorHAnsi" w:cstheme="majorHAnsi"/>
                <w:vertAlign w:val="superscript"/>
              </w:rPr>
              <w:t>4</w:t>
            </w:r>
            <w:r w:rsidR="00387D48">
              <w:rPr>
                <w:rFonts w:asciiTheme="majorHAnsi" w:hAnsiTheme="majorHAnsi" w:cstheme="majorHAnsi"/>
                <w:vertAlign w:val="superscript"/>
              </w:rPr>
              <w:t>5</w:t>
            </w:r>
          </w:p>
        </w:tc>
        <w:tc>
          <w:tcPr>
            <w:tcW w:w="3690" w:type="dxa"/>
            <w:shd w:val="clear" w:color="auto" w:fill="auto"/>
            <w:hideMark/>
          </w:tcPr>
          <w:p w14:paraId="2C7CE67B" w14:textId="62685770" w:rsidR="00C92EB7" w:rsidRDefault="00C92EB7" w:rsidP="00A40DEB">
            <w:pPr>
              <w:rPr>
                <w:rFonts w:asciiTheme="majorHAnsi" w:hAnsiTheme="majorHAnsi" w:cstheme="majorHAnsi"/>
                <w:vertAlign w:val="superscript"/>
              </w:rPr>
            </w:pPr>
            <w:r w:rsidRPr="0068104D">
              <w:rPr>
                <w:rFonts w:asciiTheme="majorHAnsi" w:hAnsiTheme="majorHAnsi" w:cstheme="majorHAnsi"/>
              </w:rPr>
              <w:t>Transitional living programs helped over 2,080 homeless youth transition to life on their own in Fiscal Year 2018.  As of FY2020, FYSB funds 239 Transitional Living grantee programs totaling more than $44 million.  These programs provided a range of services, including life skills training, financial literacy instruction, and education and employment services.</w:t>
            </w:r>
            <w:r>
              <w:rPr>
                <w:rFonts w:asciiTheme="majorHAnsi" w:hAnsiTheme="majorHAnsi" w:cstheme="majorHAnsi"/>
                <w:vertAlign w:val="superscript"/>
              </w:rPr>
              <w:t>4</w:t>
            </w:r>
            <w:r w:rsidR="00387D48">
              <w:rPr>
                <w:rFonts w:asciiTheme="majorHAnsi" w:hAnsiTheme="majorHAnsi" w:cstheme="majorHAnsi"/>
                <w:vertAlign w:val="superscript"/>
              </w:rPr>
              <w:t>5</w:t>
            </w:r>
          </w:p>
          <w:p w14:paraId="4EA2C4FD" w14:textId="77777777" w:rsidR="00C92EB7" w:rsidRDefault="00C92EB7" w:rsidP="00A40DEB">
            <w:pPr>
              <w:rPr>
                <w:rFonts w:asciiTheme="majorHAnsi" w:hAnsiTheme="majorHAnsi" w:cstheme="majorHAnsi"/>
                <w:vertAlign w:val="superscript"/>
              </w:rPr>
            </w:pPr>
          </w:p>
          <w:p w14:paraId="556C029D" w14:textId="77777777" w:rsidR="00C92EB7" w:rsidRPr="00241E30" w:rsidRDefault="00C92EB7" w:rsidP="00A40DEB">
            <w:pPr>
              <w:rPr>
                <w:rFonts w:asciiTheme="majorHAnsi" w:hAnsiTheme="majorHAnsi" w:cstheme="majorHAnsi"/>
                <w:vertAlign w:val="superscript"/>
              </w:rPr>
            </w:pPr>
          </w:p>
        </w:tc>
        <w:tc>
          <w:tcPr>
            <w:tcW w:w="2340" w:type="dxa"/>
          </w:tcPr>
          <w:p w14:paraId="2BAD1FAC" w14:textId="77777777" w:rsidR="00C92EB7" w:rsidRDefault="00C92EB7" w:rsidP="00A40DEB">
            <w:pPr>
              <w:rPr>
                <w:rFonts w:asciiTheme="majorHAnsi" w:hAnsiTheme="majorHAnsi" w:cstheme="majorHAnsi"/>
              </w:rPr>
            </w:pPr>
            <w:r>
              <w:rPr>
                <w:rFonts w:asciiTheme="majorHAnsi" w:hAnsiTheme="majorHAnsi" w:cstheme="majorHAnsi"/>
              </w:rPr>
              <w:t>Housing</w:t>
            </w:r>
          </w:p>
          <w:p w14:paraId="2BA4CCC6" w14:textId="77777777" w:rsidR="00C92EB7" w:rsidRDefault="00C92EB7" w:rsidP="00A40DEB">
            <w:pPr>
              <w:rPr>
                <w:rFonts w:asciiTheme="majorHAnsi" w:hAnsiTheme="majorHAnsi" w:cstheme="majorHAnsi"/>
              </w:rPr>
            </w:pPr>
            <w:r>
              <w:rPr>
                <w:rFonts w:asciiTheme="majorHAnsi" w:hAnsiTheme="majorHAnsi" w:cstheme="majorHAnsi"/>
              </w:rPr>
              <w:t>Supportive Services</w:t>
            </w:r>
          </w:p>
          <w:p w14:paraId="6C507FC0" w14:textId="77777777" w:rsidR="00C92EB7" w:rsidRPr="0068104D" w:rsidRDefault="00C92EB7" w:rsidP="00A40DEB">
            <w:pPr>
              <w:rPr>
                <w:rFonts w:asciiTheme="majorHAnsi" w:hAnsiTheme="majorHAnsi" w:cstheme="majorHAnsi"/>
              </w:rPr>
            </w:pPr>
          </w:p>
        </w:tc>
      </w:tr>
      <w:tr w:rsidR="00C92EB7" w:rsidRPr="0068104D" w14:paraId="317DDADF" w14:textId="77777777" w:rsidTr="00A40DEB">
        <w:trPr>
          <w:trHeight w:val="2465"/>
        </w:trPr>
        <w:tc>
          <w:tcPr>
            <w:tcW w:w="1683" w:type="dxa"/>
            <w:shd w:val="clear" w:color="auto" w:fill="auto"/>
            <w:hideMark/>
          </w:tcPr>
          <w:p w14:paraId="62AD3730" w14:textId="1BDD0ED0" w:rsidR="00C92EB7" w:rsidRPr="007A1B3E" w:rsidRDefault="00C92EB7" w:rsidP="00A40DEB">
            <w:pPr>
              <w:rPr>
                <w:rFonts w:asciiTheme="majorHAnsi" w:hAnsiTheme="majorHAnsi" w:cstheme="majorHAnsi"/>
                <w:vertAlign w:val="superscript"/>
              </w:rPr>
            </w:pPr>
            <w:r w:rsidRPr="0068104D">
              <w:rPr>
                <w:rFonts w:asciiTheme="majorHAnsi" w:hAnsiTheme="majorHAnsi" w:cstheme="majorHAnsi"/>
              </w:rPr>
              <w:lastRenderedPageBreak/>
              <w:t>The Maternity Group Homes Program</w:t>
            </w:r>
            <w:r w:rsidR="00387D48">
              <w:rPr>
                <w:rFonts w:asciiTheme="majorHAnsi" w:hAnsiTheme="majorHAnsi" w:cstheme="majorHAnsi"/>
                <w:vertAlign w:val="superscript"/>
              </w:rPr>
              <w:t>17</w:t>
            </w:r>
          </w:p>
        </w:tc>
        <w:tc>
          <w:tcPr>
            <w:tcW w:w="2542" w:type="dxa"/>
            <w:shd w:val="clear" w:color="auto" w:fill="auto"/>
            <w:hideMark/>
          </w:tcPr>
          <w:p w14:paraId="2A2B1065" w14:textId="676B0940"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Homeless pregnant and/or parenting young people between the ages of 16 and 22, as well as their dependent children</w:t>
            </w:r>
            <w:r>
              <w:rPr>
                <w:rFonts w:asciiTheme="majorHAnsi" w:hAnsiTheme="majorHAnsi" w:cstheme="majorHAnsi"/>
              </w:rPr>
              <w:t>.</w:t>
            </w:r>
            <w:r w:rsidR="00387D48">
              <w:rPr>
                <w:rFonts w:asciiTheme="majorHAnsi" w:hAnsiTheme="majorHAnsi" w:cstheme="majorHAnsi"/>
                <w:vertAlign w:val="superscript"/>
              </w:rPr>
              <w:t>46</w:t>
            </w:r>
          </w:p>
        </w:tc>
        <w:tc>
          <w:tcPr>
            <w:tcW w:w="2790" w:type="dxa"/>
            <w:shd w:val="clear" w:color="auto" w:fill="auto"/>
            <w:hideMark/>
          </w:tcPr>
          <w:p w14:paraId="5120B201" w14:textId="07EA249C" w:rsidR="00C92EB7" w:rsidRPr="0068104D" w:rsidRDefault="00C92EB7" w:rsidP="00A40DEB">
            <w:pPr>
              <w:rPr>
                <w:rFonts w:asciiTheme="majorHAnsi" w:hAnsiTheme="majorHAnsi" w:cstheme="majorHAnsi"/>
              </w:rPr>
            </w:pPr>
            <w:r w:rsidRPr="0068104D">
              <w:rPr>
                <w:rFonts w:asciiTheme="majorHAnsi" w:hAnsiTheme="majorHAnsi" w:cstheme="majorHAnsi"/>
              </w:rPr>
              <w:t>Provide for up to 21 months</w:t>
            </w:r>
            <w:r>
              <w:rPr>
                <w:rFonts w:asciiTheme="majorHAnsi" w:hAnsiTheme="majorHAnsi" w:cstheme="majorHAnsi"/>
              </w:rPr>
              <w:t xml:space="preserve"> of </w:t>
            </w:r>
            <w:r w:rsidRPr="0068104D">
              <w:rPr>
                <w:rFonts w:asciiTheme="majorHAnsi" w:hAnsiTheme="majorHAnsi" w:cstheme="majorHAnsi"/>
              </w:rPr>
              <w:t>housing and basic life skills</w:t>
            </w:r>
            <w:r>
              <w:rPr>
                <w:rFonts w:asciiTheme="majorHAnsi" w:hAnsiTheme="majorHAnsi" w:cstheme="majorHAnsi"/>
              </w:rPr>
              <w:t xml:space="preserve"> training</w:t>
            </w:r>
            <w:r w:rsidRPr="0068104D">
              <w:rPr>
                <w:rFonts w:asciiTheme="majorHAnsi" w:hAnsiTheme="majorHAnsi" w:cstheme="majorHAnsi"/>
              </w:rPr>
              <w:t>.</w:t>
            </w:r>
            <w:r w:rsidR="00387D48">
              <w:rPr>
                <w:rFonts w:asciiTheme="majorHAnsi" w:hAnsiTheme="majorHAnsi" w:cstheme="majorHAnsi"/>
                <w:vertAlign w:val="superscript"/>
              </w:rPr>
              <w:t>46</w:t>
            </w:r>
          </w:p>
        </w:tc>
        <w:tc>
          <w:tcPr>
            <w:tcW w:w="3690" w:type="dxa"/>
            <w:shd w:val="clear" w:color="auto" w:fill="auto"/>
            <w:hideMark/>
          </w:tcPr>
          <w:p w14:paraId="6E59BCDB" w14:textId="4147CF0D"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The Maternity Group Homes Program, part of the Transitional Living Program, supports homeless pregnant and/or parenting young people between the ages of 16 and 22, as well as their dependent children by providing housing, parenting skills as well as child development, family budgeting, health and nutrition, and other skills.  As of FY2020, FYSB funds 18 Maternity Group Home programs for up to a total of $4 million.</w:t>
            </w:r>
            <w:r w:rsidR="00387D48">
              <w:rPr>
                <w:rFonts w:asciiTheme="majorHAnsi" w:hAnsiTheme="majorHAnsi" w:cstheme="majorHAnsi"/>
                <w:vertAlign w:val="superscript"/>
              </w:rPr>
              <w:t>46</w:t>
            </w:r>
          </w:p>
        </w:tc>
        <w:tc>
          <w:tcPr>
            <w:tcW w:w="2340" w:type="dxa"/>
          </w:tcPr>
          <w:p w14:paraId="03AF1E5D" w14:textId="77777777" w:rsidR="00C92EB7" w:rsidRDefault="00C92EB7" w:rsidP="00A40DEB">
            <w:pPr>
              <w:rPr>
                <w:rFonts w:asciiTheme="majorHAnsi" w:hAnsiTheme="majorHAnsi" w:cstheme="majorHAnsi"/>
              </w:rPr>
            </w:pPr>
            <w:r>
              <w:rPr>
                <w:rFonts w:asciiTheme="majorHAnsi" w:hAnsiTheme="majorHAnsi" w:cstheme="majorHAnsi"/>
              </w:rPr>
              <w:t>Housing</w:t>
            </w:r>
          </w:p>
          <w:p w14:paraId="702C928D" w14:textId="77777777" w:rsidR="00C92EB7" w:rsidRDefault="00C92EB7" w:rsidP="00A40DEB">
            <w:pPr>
              <w:rPr>
                <w:rFonts w:asciiTheme="majorHAnsi" w:hAnsiTheme="majorHAnsi" w:cstheme="majorHAnsi"/>
              </w:rPr>
            </w:pPr>
            <w:r>
              <w:rPr>
                <w:rFonts w:asciiTheme="majorHAnsi" w:hAnsiTheme="majorHAnsi" w:cstheme="majorHAnsi"/>
              </w:rPr>
              <w:t>Nutritional Support</w:t>
            </w:r>
          </w:p>
          <w:p w14:paraId="78FF10F9" w14:textId="77777777" w:rsidR="00C92EB7" w:rsidRDefault="00C92EB7" w:rsidP="00A40DEB">
            <w:pPr>
              <w:rPr>
                <w:rFonts w:asciiTheme="majorHAnsi" w:hAnsiTheme="majorHAnsi" w:cstheme="majorHAnsi"/>
              </w:rPr>
            </w:pPr>
            <w:r>
              <w:rPr>
                <w:rFonts w:asciiTheme="majorHAnsi" w:hAnsiTheme="majorHAnsi" w:cstheme="majorHAnsi"/>
              </w:rPr>
              <w:t>Supportive Services</w:t>
            </w:r>
          </w:p>
          <w:p w14:paraId="6C3B1412" w14:textId="77777777" w:rsidR="00C92EB7" w:rsidRPr="0068104D" w:rsidRDefault="00C92EB7" w:rsidP="00A40DEB">
            <w:pPr>
              <w:rPr>
                <w:rFonts w:asciiTheme="majorHAnsi" w:hAnsiTheme="majorHAnsi" w:cstheme="majorHAnsi"/>
              </w:rPr>
            </w:pPr>
          </w:p>
        </w:tc>
      </w:tr>
      <w:tr w:rsidR="00C92EB7" w:rsidRPr="0068104D" w14:paraId="7DB785E6" w14:textId="77777777" w:rsidTr="00A40DEB">
        <w:trPr>
          <w:trHeight w:val="962"/>
        </w:trPr>
        <w:tc>
          <w:tcPr>
            <w:tcW w:w="1683" w:type="dxa"/>
            <w:shd w:val="clear" w:color="auto" w:fill="auto"/>
            <w:hideMark/>
          </w:tcPr>
          <w:p w14:paraId="444258E1" w14:textId="0D01FD16" w:rsidR="00C92EB7" w:rsidRPr="007A1B3E" w:rsidRDefault="00C92EB7" w:rsidP="00A40DEB">
            <w:pPr>
              <w:rPr>
                <w:rFonts w:asciiTheme="majorHAnsi" w:hAnsiTheme="majorHAnsi" w:cstheme="majorHAnsi"/>
                <w:vertAlign w:val="superscript"/>
              </w:rPr>
            </w:pPr>
            <w:r w:rsidRPr="0068104D">
              <w:rPr>
                <w:rFonts w:asciiTheme="majorHAnsi" w:hAnsiTheme="majorHAnsi" w:cstheme="majorHAnsi"/>
              </w:rPr>
              <w:t>Street Outreach Program</w:t>
            </w:r>
            <w:r w:rsidR="00387D48">
              <w:rPr>
                <w:rFonts w:asciiTheme="majorHAnsi" w:hAnsiTheme="majorHAnsi" w:cstheme="majorHAnsi"/>
                <w:vertAlign w:val="superscript"/>
              </w:rPr>
              <w:t>17</w:t>
            </w:r>
          </w:p>
        </w:tc>
        <w:tc>
          <w:tcPr>
            <w:tcW w:w="2542" w:type="dxa"/>
            <w:shd w:val="clear" w:color="auto" w:fill="auto"/>
            <w:hideMark/>
          </w:tcPr>
          <w:p w14:paraId="40588E99" w14:textId="22532578" w:rsidR="00C92EB7" w:rsidRPr="00241E30" w:rsidRDefault="00C92EB7" w:rsidP="00A40DEB">
            <w:pPr>
              <w:rPr>
                <w:rFonts w:asciiTheme="majorHAnsi" w:hAnsiTheme="majorHAnsi" w:cstheme="majorHAnsi"/>
                <w:vertAlign w:val="superscript"/>
              </w:rPr>
            </w:pPr>
            <w:r>
              <w:rPr>
                <w:rFonts w:asciiTheme="majorHAnsi" w:hAnsiTheme="majorHAnsi" w:cstheme="majorHAnsi"/>
              </w:rPr>
              <w:t>R</w:t>
            </w:r>
            <w:r w:rsidRPr="0068104D">
              <w:rPr>
                <w:rFonts w:asciiTheme="majorHAnsi" w:hAnsiTheme="majorHAnsi" w:cstheme="majorHAnsi"/>
              </w:rPr>
              <w:t>unaway, homeless, and street youth under the age of 21 and who have been subjected to, or are at risk of being subjected to, sexual abuse, prostitution, sexual exploitation, and severe forms of trafficking</w:t>
            </w:r>
            <w:r>
              <w:rPr>
                <w:rFonts w:asciiTheme="majorHAnsi" w:hAnsiTheme="majorHAnsi" w:cstheme="majorHAnsi"/>
              </w:rPr>
              <w:t>.</w:t>
            </w:r>
            <w:r w:rsidR="00387D48">
              <w:rPr>
                <w:rFonts w:asciiTheme="majorHAnsi" w:hAnsiTheme="majorHAnsi" w:cstheme="majorHAnsi"/>
                <w:vertAlign w:val="superscript"/>
              </w:rPr>
              <w:t>47</w:t>
            </w:r>
          </w:p>
        </w:tc>
        <w:tc>
          <w:tcPr>
            <w:tcW w:w="2790" w:type="dxa"/>
            <w:shd w:val="clear" w:color="auto" w:fill="auto"/>
            <w:hideMark/>
          </w:tcPr>
          <w:p w14:paraId="20635BC6" w14:textId="371037B1" w:rsidR="00C92EB7" w:rsidRPr="0068104D" w:rsidRDefault="00C92EB7" w:rsidP="00A40DEB">
            <w:pPr>
              <w:rPr>
                <w:rFonts w:asciiTheme="majorHAnsi" w:hAnsiTheme="majorHAnsi" w:cstheme="majorHAnsi"/>
              </w:rPr>
            </w:pPr>
            <w:r w:rsidRPr="0068104D">
              <w:rPr>
                <w:rFonts w:asciiTheme="majorHAnsi" w:hAnsiTheme="majorHAnsi" w:cstheme="majorHAnsi"/>
              </w:rPr>
              <w:t>Prevent the sexual exploitation and abuse of youth on the streets.</w:t>
            </w:r>
            <w:r w:rsidR="00387D48">
              <w:rPr>
                <w:rFonts w:asciiTheme="majorHAnsi" w:hAnsiTheme="majorHAnsi" w:cstheme="majorHAnsi"/>
                <w:vertAlign w:val="superscript"/>
              </w:rPr>
              <w:t>47</w:t>
            </w:r>
          </w:p>
        </w:tc>
        <w:tc>
          <w:tcPr>
            <w:tcW w:w="3690" w:type="dxa"/>
            <w:shd w:val="clear" w:color="auto" w:fill="auto"/>
            <w:hideMark/>
          </w:tcPr>
          <w:p w14:paraId="1EC48CC1" w14:textId="6FB0C3B5"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 xml:space="preserve">Provides street-based services to </w:t>
            </w:r>
            <w:proofErr w:type="spellStart"/>
            <w:r w:rsidRPr="0068104D">
              <w:rPr>
                <w:rFonts w:asciiTheme="majorHAnsi" w:hAnsiTheme="majorHAnsi" w:cstheme="majorHAnsi"/>
              </w:rPr>
              <w:t>runaway</w:t>
            </w:r>
            <w:proofErr w:type="spellEnd"/>
            <w:r w:rsidRPr="0068104D">
              <w:rPr>
                <w:rFonts w:asciiTheme="majorHAnsi" w:hAnsiTheme="majorHAnsi" w:cstheme="majorHAnsi"/>
              </w:rPr>
              <w:t xml:space="preserve">, homeless, and street youth under the age of 21 and who have been subjected to, or are at risk of being subjected to, sexual abuse, prostitution, sexual exploitation, and severe forms of trafficking; and to build relationships between street outreach workers and runaway, homeless, and street youth to move youth into stable housing and prepare them for independence.  Program is in response to Congress establishing the Education and Prevention Services to Reduce Sexual Abuse of Runaway, Homeless, and Street Youth Program, through the Violence </w:t>
            </w:r>
            <w:r w:rsidRPr="0068104D">
              <w:rPr>
                <w:rFonts w:asciiTheme="majorHAnsi" w:hAnsiTheme="majorHAnsi" w:cstheme="majorHAnsi"/>
              </w:rPr>
              <w:lastRenderedPageBreak/>
              <w:t>Against Women Act of the Violent Crime Control and Law Enforcement Act of 1994 (Public Law 103-322).  As of FY2020, FYSB funds 118 Street Outreach grantee programs totaling more than $16 million.</w:t>
            </w:r>
            <w:r w:rsidR="00387D48">
              <w:rPr>
                <w:rFonts w:asciiTheme="majorHAnsi" w:hAnsiTheme="majorHAnsi" w:cstheme="majorHAnsi"/>
                <w:vertAlign w:val="superscript"/>
              </w:rPr>
              <w:t>47</w:t>
            </w:r>
          </w:p>
        </w:tc>
        <w:tc>
          <w:tcPr>
            <w:tcW w:w="2340" w:type="dxa"/>
          </w:tcPr>
          <w:p w14:paraId="75588913" w14:textId="77777777" w:rsidR="00C92EB7" w:rsidRDefault="00C92EB7" w:rsidP="00A40DEB">
            <w:pPr>
              <w:rPr>
                <w:rFonts w:asciiTheme="majorHAnsi" w:hAnsiTheme="majorHAnsi" w:cstheme="majorHAnsi"/>
              </w:rPr>
            </w:pPr>
            <w:r>
              <w:rPr>
                <w:rFonts w:asciiTheme="majorHAnsi" w:hAnsiTheme="majorHAnsi" w:cstheme="majorHAnsi"/>
              </w:rPr>
              <w:lastRenderedPageBreak/>
              <w:t>Supportive Services</w:t>
            </w:r>
          </w:p>
          <w:p w14:paraId="608F8A3F" w14:textId="77777777" w:rsidR="00C92EB7" w:rsidRPr="0068104D" w:rsidRDefault="00C92EB7" w:rsidP="00A40DEB">
            <w:pPr>
              <w:rPr>
                <w:rFonts w:asciiTheme="majorHAnsi" w:hAnsiTheme="majorHAnsi" w:cstheme="majorHAnsi"/>
              </w:rPr>
            </w:pPr>
          </w:p>
        </w:tc>
      </w:tr>
      <w:tr w:rsidR="00C92EB7" w:rsidRPr="0068104D" w14:paraId="07819B0C" w14:textId="77777777" w:rsidTr="00A40DEB">
        <w:trPr>
          <w:trHeight w:val="3212"/>
        </w:trPr>
        <w:tc>
          <w:tcPr>
            <w:tcW w:w="1683" w:type="dxa"/>
            <w:shd w:val="clear" w:color="auto" w:fill="auto"/>
            <w:hideMark/>
          </w:tcPr>
          <w:p w14:paraId="0498C1CB" w14:textId="2FFCE918" w:rsidR="00C92EB7" w:rsidRPr="007A1B3E" w:rsidRDefault="00C92EB7" w:rsidP="00A40DEB">
            <w:pPr>
              <w:rPr>
                <w:rFonts w:asciiTheme="majorHAnsi" w:hAnsiTheme="majorHAnsi" w:cstheme="majorHAnsi"/>
                <w:vertAlign w:val="superscript"/>
              </w:rPr>
            </w:pPr>
            <w:r w:rsidRPr="0068104D">
              <w:rPr>
                <w:rFonts w:asciiTheme="majorHAnsi" w:hAnsiTheme="majorHAnsi" w:cstheme="majorHAnsi"/>
              </w:rPr>
              <w:t>Maternal, Infant, and Early Childhood Home Visiting (MIECHV) Program</w:t>
            </w:r>
            <w:r w:rsidR="00387D48">
              <w:rPr>
                <w:rFonts w:asciiTheme="majorHAnsi" w:hAnsiTheme="majorHAnsi" w:cstheme="majorHAnsi"/>
                <w:vertAlign w:val="superscript"/>
              </w:rPr>
              <w:t>17</w:t>
            </w:r>
          </w:p>
        </w:tc>
        <w:tc>
          <w:tcPr>
            <w:tcW w:w="2542" w:type="dxa"/>
            <w:shd w:val="clear" w:color="auto" w:fill="auto"/>
            <w:hideMark/>
          </w:tcPr>
          <w:p w14:paraId="734F3853" w14:textId="464FFBC1" w:rsidR="00C92EB7" w:rsidRPr="0068104D" w:rsidRDefault="00C92EB7" w:rsidP="00A40DEB">
            <w:pPr>
              <w:rPr>
                <w:rFonts w:asciiTheme="majorHAnsi" w:hAnsiTheme="majorHAnsi" w:cstheme="majorHAnsi"/>
              </w:rPr>
            </w:pPr>
            <w:r>
              <w:rPr>
                <w:rFonts w:asciiTheme="majorHAnsi" w:hAnsiTheme="majorHAnsi" w:cstheme="majorHAnsi"/>
              </w:rPr>
              <w:t>V</w:t>
            </w:r>
            <w:r w:rsidRPr="0068104D">
              <w:rPr>
                <w:rFonts w:asciiTheme="majorHAnsi" w:hAnsiTheme="majorHAnsi" w:cstheme="majorHAnsi"/>
              </w:rPr>
              <w:t>aries depending states, territories, and tribal entities</w:t>
            </w:r>
            <w:r>
              <w:rPr>
                <w:rFonts w:asciiTheme="majorHAnsi" w:hAnsiTheme="majorHAnsi" w:cstheme="majorHAnsi"/>
              </w:rPr>
              <w:t>,</w:t>
            </w:r>
            <w:r w:rsidRPr="0068104D">
              <w:rPr>
                <w:rFonts w:asciiTheme="majorHAnsi" w:hAnsiTheme="majorHAnsi" w:cstheme="majorHAnsi"/>
              </w:rPr>
              <w:t xml:space="preserve"> but typically focused on </w:t>
            </w:r>
            <w:proofErr w:type="gramStart"/>
            <w:r w:rsidRPr="0068104D">
              <w:rPr>
                <w:rFonts w:asciiTheme="majorHAnsi" w:hAnsiTheme="majorHAnsi" w:cstheme="majorHAnsi"/>
              </w:rPr>
              <w:t>low income</w:t>
            </w:r>
            <w:proofErr w:type="gramEnd"/>
            <w:r w:rsidRPr="0068104D">
              <w:rPr>
                <w:rFonts w:asciiTheme="majorHAnsi" w:hAnsiTheme="majorHAnsi" w:cstheme="majorHAnsi"/>
              </w:rPr>
              <w:t xml:space="preserve"> pregnant women under 21 and those with children under 5</w:t>
            </w:r>
            <w:r>
              <w:rPr>
                <w:rFonts w:asciiTheme="majorHAnsi" w:hAnsiTheme="majorHAnsi" w:cstheme="majorHAnsi"/>
              </w:rPr>
              <w:t>.</w:t>
            </w:r>
            <w:r w:rsidR="00387D48">
              <w:rPr>
                <w:rFonts w:asciiTheme="majorHAnsi" w:hAnsiTheme="majorHAnsi" w:cstheme="majorHAnsi"/>
                <w:vertAlign w:val="superscript"/>
              </w:rPr>
              <w:t>48</w:t>
            </w:r>
          </w:p>
        </w:tc>
        <w:tc>
          <w:tcPr>
            <w:tcW w:w="2790" w:type="dxa"/>
            <w:shd w:val="clear" w:color="auto" w:fill="auto"/>
            <w:hideMark/>
          </w:tcPr>
          <w:p w14:paraId="4130AF1B" w14:textId="32511699"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Supports pregnant people and parents with young children who live in communities that face greater risks and barriers to achieving positive maternal and child health outcomes</w:t>
            </w:r>
            <w:r>
              <w:rPr>
                <w:rFonts w:asciiTheme="majorHAnsi" w:hAnsiTheme="majorHAnsi" w:cstheme="majorHAnsi"/>
              </w:rPr>
              <w:t>.</w:t>
            </w:r>
            <w:r w:rsidR="00387D48">
              <w:rPr>
                <w:rFonts w:asciiTheme="majorHAnsi" w:hAnsiTheme="majorHAnsi" w:cstheme="majorHAnsi"/>
                <w:vertAlign w:val="superscript"/>
              </w:rPr>
              <w:t>48</w:t>
            </w:r>
          </w:p>
        </w:tc>
        <w:tc>
          <w:tcPr>
            <w:tcW w:w="3690" w:type="dxa"/>
            <w:shd w:val="clear" w:color="auto" w:fill="auto"/>
            <w:hideMark/>
          </w:tcPr>
          <w:p w14:paraId="03BA6878" w14:textId="3A870F85" w:rsidR="00C92EB7" w:rsidRPr="0068104D" w:rsidRDefault="00C92EB7" w:rsidP="00A40DEB">
            <w:pPr>
              <w:rPr>
                <w:rFonts w:asciiTheme="majorHAnsi" w:hAnsiTheme="majorHAnsi" w:cstheme="majorHAnsi"/>
              </w:rPr>
            </w:pPr>
            <w:r w:rsidRPr="0068104D">
              <w:rPr>
                <w:rFonts w:asciiTheme="majorHAnsi" w:hAnsiTheme="majorHAnsi" w:cstheme="majorHAnsi"/>
              </w:rPr>
              <w:t xml:space="preserve">The program builds upon decades of research showing that home visits during pregnancy and early childhood improve the lives of </w:t>
            </w:r>
            <w:proofErr w:type="gramStart"/>
            <w:r w:rsidRPr="0068104D">
              <w:rPr>
                <w:rFonts w:asciiTheme="majorHAnsi" w:hAnsiTheme="majorHAnsi" w:cstheme="majorHAnsi"/>
              </w:rPr>
              <w:t>birthing</w:t>
            </w:r>
            <w:proofErr w:type="gramEnd"/>
            <w:r w:rsidRPr="0068104D">
              <w:rPr>
                <w:rFonts w:asciiTheme="majorHAnsi" w:hAnsiTheme="majorHAnsi" w:cstheme="majorHAnsi"/>
              </w:rPr>
              <w:t xml:space="preserve"> people, children, and their families.  </w:t>
            </w:r>
            <w:proofErr w:type="gramStart"/>
            <w:r w:rsidRPr="0068104D">
              <w:rPr>
                <w:rFonts w:asciiTheme="majorHAnsi" w:hAnsiTheme="majorHAnsi" w:cstheme="majorHAnsi"/>
              </w:rPr>
              <w:t>Program</w:t>
            </w:r>
            <w:proofErr w:type="gramEnd"/>
            <w:r w:rsidRPr="0068104D">
              <w:rPr>
                <w:rFonts w:asciiTheme="majorHAnsi" w:hAnsiTheme="majorHAnsi" w:cstheme="majorHAnsi"/>
              </w:rPr>
              <w:t xml:space="preserve"> has had such a significant positive impact that program received funding increase leading to HRSA awarded $443,980,559 in funding to 56 states, jurisdictions, and nonprofit organizations through program in FY24.  Families choose to participate in home visiting programs, and partner with health, social service, and child development professionals to set and achieve goals that improve their health and well-being.</w:t>
            </w:r>
            <w:r w:rsidR="00387D48">
              <w:rPr>
                <w:rFonts w:asciiTheme="majorHAnsi" w:hAnsiTheme="majorHAnsi" w:cstheme="majorHAnsi"/>
                <w:vertAlign w:val="superscript"/>
              </w:rPr>
              <w:t>48</w:t>
            </w:r>
          </w:p>
        </w:tc>
        <w:tc>
          <w:tcPr>
            <w:tcW w:w="2340" w:type="dxa"/>
          </w:tcPr>
          <w:p w14:paraId="214665EA" w14:textId="77777777" w:rsidR="00C92EB7" w:rsidRDefault="00C92EB7" w:rsidP="00A40DEB">
            <w:pPr>
              <w:rPr>
                <w:rFonts w:asciiTheme="majorHAnsi" w:hAnsiTheme="majorHAnsi" w:cstheme="majorHAnsi"/>
              </w:rPr>
            </w:pPr>
            <w:r>
              <w:rPr>
                <w:rFonts w:asciiTheme="majorHAnsi" w:hAnsiTheme="majorHAnsi" w:cstheme="majorHAnsi"/>
              </w:rPr>
              <w:t>Supportive Services</w:t>
            </w:r>
          </w:p>
          <w:p w14:paraId="24C07CD4" w14:textId="77777777" w:rsidR="00C92EB7" w:rsidRPr="0068104D" w:rsidRDefault="00C92EB7" w:rsidP="00A40DEB">
            <w:pPr>
              <w:rPr>
                <w:rFonts w:asciiTheme="majorHAnsi" w:hAnsiTheme="majorHAnsi" w:cstheme="majorHAnsi"/>
              </w:rPr>
            </w:pPr>
          </w:p>
        </w:tc>
      </w:tr>
      <w:tr w:rsidR="00C92EB7" w:rsidRPr="0068104D" w14:paraId="1DE13F99" w14:textId="77777777" w:rsidTr="00A40DEB">
        <w:trPr>
          <w:trHeight w:val="2640"/>
        </w:trPr>
        <w:tc>
          <w:tcPr>
            <w:tcW w:w="1683" w:type="dxa"/>
            <w:shd w:val="clear" w:color="auto" w:fill="auto"/>
            <w:hideMark/>
          </w:tcPr>
          <w:p w14:paraId="1225E085" w14:textId="21294677" w:rsidR="00C92EB7" w:rsidRPr="007A1B3E" w:rsidRDefault="00C92EB7" w:rsidP="00A40DEB">
            <w:pPr>
              <w:rPr>
                <w:rFonts w:asciiTheme="majorHAnsi" w:hAnsiTheme="majorHAnsi" w:cstheme="majorHAnsi"/>
                <w:vertAlign w:val="superscript"/>
              </w:rPr>
            </w:pPr>
            <w:r w:rsidRPr="0068104D">
              <w:rPr>
                <w:rFonts w:asciiTheme="majorHAnsi" w:hAnsiTheme="majorHAnsi" w:cstheme="majorHAnsi"/>
              </w:rPr>
              <w:lastRenderedPageBreak/>
              <w:t>Education for Homeless Children and Youths Program</w:t>
            </w:r>
            <w:r w:rsidR="00387D48">
              <w:rPr>
                <w:rFonts w:asciiTheme="majorHAnsi" w:hAnsiTheme="majorHAnsi" w:cstheme="majorHAnsi"/>
                <w:vertAlign w:val="superscript"/>
              </w:rPr>
              <w:t>17</w:t>
            </w:r>
          </w:p>
        </w:tc>
        <w:tc>
          <w:tcPr>
            <w:tcW w:w="2542" w:type="dxa"/>
            <w:shd w:val="clear" w:color="auto" w:fill="auto"/>
            <w:hideMark/>
          </w:tcPr>
          <w:p w14:paraId="52231AE4" w14:textId="1B0387D8" w:rsidR="00C92EB7" w:rsidRPr="0068104D" w:rsidRDefault="00C92EB7" w:rsidP="00A40DEB">
            <w:pPr>
              <w:rPr>
                <w:rFonts w:asciiTheme="majorHAnsi" w:hAnsiTheme="majorHAnsi" w:cstheme="majorHAnsi"/>
              </w:rPr>
            </w:pPr>
            <w:r>
              <w:rPr>
                <w:rFonts w:asciiTheme="majorHAnsi" w:hAnsiTheme="majorHAnsi" w:cstheme="majorHAnsi"/>
              </w:rPr>
              <w:t>H</w:t>
            </w:r>
            <w:r w:rsidRPr="0068104D">
              <w:rPr>
                <w:rFonts w:asciiTheme="majorHAnsi" w:hAnsiTheme="majorHAnsi" w:cstheme="majorHAnsi"/>
              </w:rPr>
              <w:t>omeless students</w:t>
            </w:r>
            <w:r w:rsidR="00387D48">
              <w:rPr>
                <w:rFonts w:asciiTheme="majorHAnsi" w:hAnsiTheme="majorHAnsi" w:cstheme="majorHAnsi"/>
                <w:vertAlign w:val="superscript"/>
              </w:rPr>
              <w:t>49</w:t>
            </w:r>
          </w:p>
        </w:tc>
        <w:tc>
          <w:tcPr>
            <w:tcW w:w="2790" w:type="dxa"/>
            <w:shd w:val="clear" w:color="auto" w:fill="auto"/>
            <w:hideMark/>
          </w:tcPr>
          <w:p w14:paraId="27CB8F18" w14:textId="21F49C25"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Provides funds for an office to coordinate the education of children and youth experiencing homelessness in each state, the District of Columbia, Puerto Rico, Outlying areas, and the Bureau of Indian Affairs also receive funds</w:t>
            </w:r>
            <w:r w:rsidR="00387D48">
              <w:rPr>
                <w:rFonts w:asciiTheme="majorHAnsi" w:hAnsiTheme="majorHAnsi" w:cstheme="majorHAnsi"/>
                <w:vertAlign w:val="superscript"/>
              </w:rPr>
              <w:t>49</w:t>
            </w:r>
          </w:p>
        </w:tc>
        <w:tc>
          <w:tcPr>
            <w:tcW w:w="3690" w:type="dxa"/>
            <w:shd w:val="clear" w:color="auto" w:fill="auto"/>
            <w:hideMark/>
          </w:tcPr>
          <w:p w14:paraId="473D65A2" w14:textId="567234C5"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Ensure that children experiencing homelessness, including preschoolers and youths, have equal access to free and appropriate public education.   Has long demonstrated history of success and has been continually funded since started in 1987 under The Stewart B. McKinney Homeless Assistance Act.</w:t>
            </w:r>
            <w:r w:rsidR="00387D48">
              <w:rPr>
                <w:rFonts w:asciiTheme="majorHAnsi" w:hAnsiTheme="majorHAnsi" w:cstheme="majorHAnsi"/>
                <w:vertAlign w:val="superscript"/>
              </w:rPr>
              <w:t>49</w:t>
            </w:r>
          </w:p>
        </w:tc>
        <w:tc>
          <w:tcPr>
            <w:tcW w:w="2340" w:type="dxa"/>
          </w:tcPr>
          <w:p w14:paraId="1970D07F" w14:textId="77777777" w:rsidR="00C92EB7" w:rsidRDefault="00C92EB7" w:rsidP="00A40DEB">
            <w:pPr>
              <w:rPr>
                <w:rFonts w:asciiTheme="majorHAnsi" w:hAnsiTheme="majorHAnsi" w:cstheme="majorHAnsi"/>
              </w:rPr>
            </w:pPr>
            <w:r>
              <w:rPr>
                <w:rFonts w:asciiTheme="majorHAnsi" w:hAnsiTheme="majorHAnsi" w:cstheme="majorHAnsi"/>
              </w:rPr>
              <w:t>Supportive Services</w:t>
            </w:r>
          </w:p>
          <w:p w14:paraId="17FB470B" w14:textId="77777777" w:rsidR="00C92EB7" w:rsidRPr="0068104D" w:rsidRDefault="00C92EB7" w:rsidP="00A40DEB">
            <w:pPr>
              <w:rPr>
                <w:rFonts w:asciiTheme="majorHAnsi" w:hAnsiTheme="majorHAnsi" w:cstheme="majorHAnsi"/>
              </w:rPr>
            </w:pPr>
          </w:p>
        </w:tc>
      </w:tr>
      <w:tr w:rsidR="00C92EB7" w:rsidRPr="0068104D" w14:paraId="09540880" w14:textId="77777777" w:rsidTr="00A40DEB">
        <w:trPr>
          <w:trHeight w:val="4292"/>
        </w:trPr>
        <w:tc>
          <w:tcPr>
            <w:tcW w:w="1683" w:type="dxa"/>
            <w:shd w:val="clear" w:color="auto" w:fill="auto"/>
            <w:hideMark/>
          </w:tcPr>
          <w:p w14:paraId="655198D0" w14:textId="7BBEF795" w:rsidR="00C92EB7" w:rsidRPr="007A1B3E" w:rsidRDefault="00C92EB7" w:rsidP="00A40DEB">
            <w:pPr>
              <w:rPr>
                <w:rFonts w:asciiTheme="majorHAnsi" w:hAnsiTheme="majorHAnsi" w:cstheme="majorHAnsi"/>
                <w:vertAlign w:val="superscript"/>
              </w:rPr>
            </w:pPr>
            <w:r w:rsidRPr="0068104D">
              <w:rPr>
                <w:rFonts w:asciiTheme="majorHAnsi" w:hAnsiTheme="majorHAnsi" w:cstheme="majorHAnsi"/>
              </w:rPr>
              <w:t>The U.S. Department of Housing and Urban Development’s (HUD’s) Foster Youth to Independence (FYI)</w:t>
            </w:r>
            <w:r w:rsidR="00387D48">
              <w:rPr>
                <w:rFonts w:asciiTheme="majorHAnsi" w:hAnsiTheme="majorHAnsi" w:cstheme="majorHAnsi"/>
                <w:vertAlign w:val="superscript"/>
              </w:rPr>
              <w:t>17</w:t>
            </w:r>
          </w:p>
        </w:tc>
        <w:tc>
          <w:tcPr>
            <w:tcW w:w="2542" w:type="dxa"/>
            <w:shd w:val="clear" w:color="auto" w:fill="auto"/>
            <w:hideMark/>
          </w:tcPr>
          <w:p w14:paraId="0660414D" w14:textId="41B4E6EA" w:rsidR="00C92EB7" w:rsidRPr="0068104D" w:rsidRDefault="00C92EB7" w:rsidP="00A40DEB">
            <w:pPr>
              <w:rPr>
                <w:rFonts w:asciiTheme="majorHAnsi" w:hAnsiTheme="majorHAnsi" w:cstheme="majorHAnsi"/>
              </w:rPr>
            </w:pPr>
            <w:r w:rsidRPr="0068104D">
              <w:rPr>
                <w:rFonts w:asciiTheme="majorHAnsi" w:hAnsiTheme="majorHAnsi" w:cstheme="majorHAnsi"/>
              </w:rPr>
              <w:t xml:space="preserve">Youth at least 18 years and not more than 24 years (i.e., have not reached their 25th birthday) who left foster care, or will leave foster care within 90 days, in accordance with a transition plan described in Section 475(5)(H) of the Social Security Act and are homeless </w:t>
            </w:r>
            <w:proofErr w:type="gramStart"/>
            <w:r w:rsidRPr="0068104D">
              <w:rPr>
                <w:rFonts w:asciiTheme="majorHAnsi" w:hAnsiTheme="majorHAnsi" w:cstheme="majorHAnsi"/>
              </w:rPr>
              <w:t>or are</w:t>
            </w:r>
            <w:proofErr w:type="gramEnd"/>
            <w:r w:rsidRPr="0068104D">
              <w:rPr>
                <w:rFonts w:asciiTheme="majorHAnsi" w:hAnsiTheme="majorHAnsi" w:cstheme="majorHAnsi"/>
              </w:rPr>
              <w:t xml:space="preserve"> at risk of becoming homeless at age 16 or older.</w:t>
            </w:r>
            <w:r>
              <w:rPr>
                <w:rFonts w:asciiTheme="majorHAnsi" w:hAnsiTheme="majorHAnsi" w:cstheme="majorHAnsi"/>
                <w:vertAlign w:val="superscript"/>
              </w:rPr>
              <w:t>5</w:t>
            </w:r>
            <w:r w:rsidR="00387D48">
              <w:rPr>
                <w:rFonts w:asciiTheme="majorHAnsi" w:hAnsiTheme="majorHAnsi" w:cstheme="majorHAnsi"/>
                <w:vertAlign w:val="superscript"/>
              </w:rPr>
              <w:t>0</w:t>
            </w:r>
          </w:p>
        </w:tc>
        <w:tc>
          <w:tcPr>
            <w:tcW w:w="2790" w:type="dxa"/>
            <w:shd w:val="clear" w:color="auto" w:fill="auto"/>
            <w:hideMark/>
          </w:tcPr>
          <w:p w14:paraId="35B5E35E" w14:textId="59ABD189"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Makes Housing Choice Voucher (HCV) assistance available to Public Housing Agencies (PHAs) in partnership with Public Child Welfare Agencies (PCWAs)</w:t>
            </w:r>
            <w:r>
              <w:rPr>
                <w:rFonts w:asciiTheme="majorHAnsi" w:hAnsiTheme="majorHAnsi" w:cstheme="majorHAnsi"/>
              </w:rPr>
              <w:t>.</w:t>
            </w:r>
            <w:r>
              <w:rPr>
                <w:rFonts w:asciiTheme="majorHAnsi" w:hAnsiTheme="majorHAnsi" w:cstheme="majorHAnsi"/>
                <w:vertAlign w:val="superscript"/>
              </w:rPr>
              <w:t>5</w:t>
            </w:r>
            <w:r w:rsidR="00387D48">
              <w:rPr>
                <w:rFonts w:asciiTheme="majorHAnsi" w:hAnsiTheme="majorHAnsi" w:cstheme="majorHAnsi"/>
                <w:vertAlign w:val="superscript"/>
              </w:rPr>
              <w:t>0</w:t>
            </w:r>
          </w:p>
        </w:tc>
        <w:tc>
          <w:tcPr>
            <w:tcW w:w="3690" w:type="dxa"/>
            <w:shd w:val="clear" w:color="auto" w:fill="auto"/>
            <w:hideMark/>
          </w:tcPr>
          <w:p w14:paraId="1DE05010" w14:textId="1A714D43" w:rsidR="00C92EB7" w:rsidRPr="0068104D" w:rsidRDefault="00C92EB7" w:rsidP="00A40DEB">
            <w:pPr>
              <w:rPr>
                <w:rFonts w:asciiTheme="majorHAnsi" w:hAnsiTheme="majorHAnsi" w:cstheme="majorHAnsi"/>
              </w:rPr>
            </w:pPr>
            <w:r w:rsidRPr="0068104D">
              <w:rPr>
                <w:rFonts w:asciiTheme="majorHAnsi" w:hAnsiTheme="majorHAnsi" w:cstheme="majorHAnsi"/>
              </w:rPr>
              <w:t>Provide housing assistance for the youth for a maximum of 36 months. However, youth may receive up to an additional 24 months of assistance if they meet the requirements of the Fostering Stable Housing Opportunities amendments.  Program has experienced tremendous growth and is currently available in about 300 communities with nearly 5,000 vouchers in-use or available for use by young people.</w:t>
            </w:r>
            <w:r>
              <w:rPr>
                <w:rFonts w:asciiTheme="majorHAnsi" w:hAnsiTheme="majorHAnsi" w:cstheme="majorHAnsi"/>
                <w:vertAlign w:val="superscript"/>
              </w:rPr>
              <w:t>5</w:t>
            </w:r>
            <w:r w:rsidR="00387D48">
              <w:rPr>
                <w:rFonts w:asciiTheme="majorHAnsi" w:hAnsiTheme="majorHAnsi" w:cstheme="majorHAnsi"/>
                <w:vertAlign w:val="superscript"/>
              </w:rPr>
              <w:t>0</w:t>
            </w:r>
          </w:p>
        </w:tc>
        <w:tc>
          <w:tcPr>
            <w:tcW w:w="2340" w:type="dxa"/>
          </w:tcPr>
          <w:p w14:paraId="416C3128" w14:textId="77777777" w:rsidR="00C92EB7" w:rsidRDefault="00C92EB7" w:rsidP="00A40DEB">
            <w:pPr>
              <w:rPr>
                <w:rFonts w:asciiTheme="majorHAnsi" w:hAnsiTheme="majorHAnsi" w:cstheme="majorHAnsi"/>
              </w:rPr>
            </w:pPr>
            <w:r>
              <w:rPr>
                <w:rFonts w:asciiTheme="majorHAnsi" w:hAnsiTheme="majorHAnsi" w:cstheme="majorHAnsi"/>
              </w:rPr>
              <w:t>Housing</w:t>
            </w:r>
          </w:p>
          <w:p w14:paraId="6EA69FF9" w14:textId="77777777" w:rsidR="00C92EB7" w:rsidRPr="0068104D" w:rsidRDefault="00C92EB7" w:rsidP="00A40DEB">
            <w:pPr>
              <w:rPr>
                <w:rFonts w:asciiTheme="majorHAnsi" w:hAnsiTheme="majorHAnsi" w:cstheme="majorHAnsi"/>
              </w:rPr>
            </w:pPr>
          </w:p>
        </w:tc>
      </w:tr>
      <w:tr w:rsidR="00C92EB7" w:rsidRPr="0068104D" w14:paraId="27D08F44" w14:textId="77777777" w:rsidTr="00A40DEB">
        <w:trPr>
          <w:trHeight w:val="2888"/>
        </w:trPr>
        <w:tc>
          <w:tcPr>
            <w:tcW w:w="1683" w:type="dxa"/>
            <w:shd w:val="clear" w:color="auto" w:fill="auto"/>
            <w:hideMark/>
          </w:tcPr>
          <w:p w14:paraId="77D6BF7C" w14:textId="7B4B7759" w:rsidR="00C92EB7" w:rsidRPr="007A1B3E" w:rsidRDefault="00C92EB7" w:rsidP="00A40DEB">
            <w:pPr>
              <w:rPr>
                <w:rFonts w:asciiTheme="majorHAnsi" w:hAnsiTheme="majorHAnsi" w:cstheme="majorHAnsi"/>
                <w:vertAlign w:val="superscript"/>
              </w:rPr>
            </w:pPr>
            <w:r w:rsidRPr="0068104D">
              <w:rPr>
                <w:rFonts w:asciiTheme="majorHAnsi" w:hAnsiTheme="majorHAnsi" w:cstheme="majorHAnsi"/>
              </w:rPr>
              <w:lastRenderedPageBreak/>
              <w:t>HUD supports Continuum of Care (CoC) homeless assistance programs</w:t>
            </w:r>
            <w:r w:rsidR="00387D48">
              <w:rPr>
                <w:rFonts w:asciiTheme="majorHAnsi" w:hAnsiTheme="majorHAnsi" w:cstheme="majorHAnsi"/>
                <w:vertAlign w:val="superscript"/>
              </w:rPr>
              <w:t>17</w:t>
            </w:r>
          </w:p>
        </w:tc>
        <w:tc>
          <w:tcPr>
            <w:tcW w:w="2542" w:type="dxa"/>
            <w:shd w:val="clear" w:color="auto" w:fill="auto"/>
            <w:hideMark/>
          </w:tcPr>
          <w:p w14:paraId="047CDF9A" w14:textId="24635CFC"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Varies based on specific program</w:t>
            </w:r>
            <w:r>
              <w:rPr>
                <w:rFonts w:asciiTheme="majorHAnsi" w:hAnsiTheme="majorHAnsi" w:cstheme="majorHAnsi"/>
              </w:rPr>
              <w:t>.</w:t>
            </w:r>
            <w:r>
              <w:rPr>
                <w:rFonts w:asciiTheme="majorHAnsi" w:hAnsiTheme="majorHAnsi" w:cstheme="majorHAnsi"/>
                <w:vertAlign w:val="superscript"/>
              </w:rPr>
              <w:t>5</w:t>
            </w:r>
            <w:r w:rsidR="00387D48">
              <w:rPr>
                <w:rFonts w:asciiTheme="majorHAnsi" w:hAnsiTheme="majorHAnsi" w:cstheme="majorHAnsi"/>
                <w:vertAlign w:val="superscript"/>
              </w:rPr>
              <w:t>1</w:t>
            </w:r>
          </w:p>
        </w:tc>
        <w:tc>
          <w:tcPr>
            <w:tcW w:w="2790" w:type="dxa"/>
            <w:shd w:val="clear" w:color="auto" w:fill="auto"/>
            <w:hideMark/>
          </w:tcPr>
          <w:p w14:paraId="459ACB9F" w14:textId="0CDF1921"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Overall objective is providing funds to support activities within five program components: Permanent Housing, Transitional Housing, Supportive Services Only, Homeless Management Information System, and Homelessness Prevention</w:t>
            </w:r>
            <w:r>
              <w:rPr>
                <w:rFonts w:asciiTheme="majorHAnsi" w:hAnsiTheme="majorHAnsi" w:cstheme="majorHAnsi"/>
              </w:rPr>
              <w:t>.</w:t>
            </w:r>
            <w:r>
              <w:rPr>
                <w:rFonts w:asciiTheme="majorHAnsi" w:hAnsiTheme="majorHAnsi" w:cstheme="majorHAnsi"/>
                <w:vertAlign w:val="superscript"/>
              </w:rPr>
              <w:t>5</w:t>
            </w:r>
            <w:r w:rsidR="00387D48">
              <w:rPr>
                <w:rFonts w:asciiTheme="majorHAnsi" w:hAnsiTheme="majorHAnsi" w:cstheme="majorHAnsi"/>
                <w:vertAlign w:val="superscript"/>
              </w:rPr>
              <w:t>1</w:t>
            </w:r>
          </w:p>
        </w:tc>
        <w:tc>
          <w:tcPr>
            <w:tcW w:w="3690" w:type="dxa"/>
            <w:shd w:val="clear" w:color="auto" w:fill="auto"/>
            <w:hideMark/>
          </w:tcPr>
          <w:p w14:paraId="5E8260D6" w14:textId="064EFCC9" w:rsidR="00C92EB7" w:rsidRPr="00241E30" w:rsidRDefault="00C92EB7" w:rsidP="00A40DEB">
            <w:pPr>
              <w:rPr>
                <w:rFonts w:asciiTheme="majorHAnsi" w:hAnsiTheme="majorHAnsi" w:cstheme="majorHAnsi"/>
                <w:vertAlign w:val="superscript"/>
              </w:rPr>
            </w:pPr>
            <w:r>
              <w:rPr>
                <w:rFonts w:asciiTheme="majorHAnsi" w:hAnsiTheme="majorHAnsi" w:cstheme="majorHAnsi"/>
              </w:rPr>
              <w:t>P</w:t>
            </w:r>
            <w:r w:rsidRPr="0068104D">
              <w:rPr>
                <w:rFonts w:asciiTheme="majorHAnsi" w:hAnsiTheme="majorHAnsi" w:cstheme="majorHAnsi"/>
              </w:rPr>
              <w:t>rogram authorized under Title IV of the McKinney-Vento Homeless Assistance Ac</w:t>
            </w:r>
            <w:r>
              <w:rPr>
                <w:rFonts w:asciiTheme="majorHAnsi" w:hAnsiTheme="majorHAnsi" w:cstheme="majorHAnsi"/>
              </w:rPr>
              <w:t>t that q</w:t>
            </w:r>
            <w:r w:rsidRPr="0068104D">
              <w:rPr>
                <w:rFonts w:asciiTheme="majorHAnsi" w:hAnsiTheme="majorHAnsi" w:cstheme="majorHAnsi"/>
              </w:rPr>
              <w:t>uickly rehouses homeless individuals, families, persons fleeing domestic violence, dating violence, sexual assault, and stalking, and youth while minimizing the trauma and dislocation caused by homelessness, promotes access to and effective utilization of mainstream programs by homeless individuals and families, and optimizes self-sufficiency among those experiencing homelessness.</w:t>
            </w:r>
            <w:r>
              <w:rPr>
                <w:rFonts w:asciiTheme="majorHAnsi" w:hAnsiTheme="majorHAnsi" w:cstheme="majorHAnsi"/>
                <w:vertAlign w:val="superscript"/>
              </w:rPr>
              <w:t>5</w:t>
            </w:r>
            <w:r w:rsidR="00387D48">
              <w:rPr>
                <w:rFonts w:asciiTheme="majorHAnsi" w:hAnsiTheme="majorHAnsi" w:cstheme="majorHAnsi"/>
                <w:vertAlign w:val="superscript"/>
              </w:rPr>
              <w:t>1</w:t>
            </w:r>
          </w:p>
        </w:tc>
        <w:tc>
          <w:tcPr>
            <w:tcW w:w="2340" w:type="dxa"/>
          </w:tcPr>
          <w:p w14:paraId="4AC9D5EC" w14:textId="77777777" w:rsidR="00C92EB7" w:rsidRDefault="00C92EB7" w:rsidP="00A40DEB">
            <w:pPr>
              <w:rPr>
                <w:rFonts w:asciiTheme="majorHAnsi" w:hAnsiTheme="majorHAnsi" w:cstheme="majorHAnsi"/>
              </w:rPr>
            </w:pPr>
            <w:r>
              <w:rPr>
                <w:rFonts w:asciiTheme="majorHAnsi" w:hAnsiTheme="majorHAnsi" w:cstheme="majorHAnsi"/>
              </w:rPr>
              <w:t>Financial Support</w:t>
            </w:r>
          </w:p>
          <w:p w14:paraId="3C2092F4" w14:textId="77777777" w:rsidR="00C92EB7" w:rsidRDefault="00C92EB7" w:rsidP="00A40DEB">
            <w:pPr>
              <w:rPr>
                <w:rFonts w:asciiTheme="majorHAnsi" w:hAnsiTheme="majorHAnsi" w:cstheme="majorHAnsi"/>
              </w:rPr>
            </w:pPr>
            <w:r>
              <w:rPr>
                <w:rFonts w:asciiTheme="majorHAnsi" w:hAnsiTheme="majorHAnsi" w:cstheme="majorHAnsi"/>
              </w:rPr>
              <w:t>Housing</w:t>
            </w:r>
          </w:p>
          <w:p w14:paraId="48B27AC6" w14:textId="77777777" w:rsidR="00C92EB7" w:rsidRDefault="00C92EB7" w:rsidP="00A40DEB">
            <w:pPr>
              <w:rPr>
                <w:rFonts w:asciiTheme="majorHAnsi" w:hAnsiTheme="majorHAnsi" w:cstheme="majorHAnsi"/>
              </w:rPr>
            </w:pPr>
            <w:r>
              <w:rPr>
                <w:rFonts w:asciiTheme="majorHAnsi" w:hAnsiTheme="majorHAnsi" w:cstheme="majorHAnsi"/>
              </w:rPr>
              <w:t>Nutritional Support</w:t>
            </w:r>
          </w:p>
          <w:p w14:paraId="021CD97F" w14:textId="77777777" w:rsidR="00C92EB7" w:rsidRDefault="00C92EB7" w:rsidP="00A40DEB">
            <w:pPr>
              <w:rPr>
                <w:rFonts w:asciiTheme="majorHAnsi" w:hAnsiTheme="majorHAnsi" w:cstheme="majorHAnsi"/>
              </w:rPr>
            </w:pPr>
            <w:r>
              <w:rPr>
                <w:rFonts w:asciiTheme="majorHAnsi" w:hAnsiTheme="majorHAnsi" w:cstheme="majorHAnsi"/>
              </w:rPr>
              <w:t>Supportive Services</w:t>
            </w:r>
          </w:p>
        </w:tc>
      </w:tr>
      <w:tr w:rsidR="00C92EB7" w:rsidRPr="0068104D" w14:paraId="0D6FE01D" w14:textId="77777777" w:rsidTr="00A40DEB">
        <w:trPr>
          <w:trHeight w:val="2942"/>
        </w:trPr>
        <w:tc>
          <w:tcPr>
            <w:tcW w:w="1683" w:type="dxa"/>
            <w:shd w:val="clear" w:color="auto" w:fill="auto"/>
            <w:hideMark/>
          </w:tcPr>
          <w:p w14:paraId="0714EB0A" w14:textId="48C3AF76" w:rsidR="00C92EB7" w:rsidRPr="0068104D" w:rsidRDefault="00C92EB7" w:rsidP="00A40DEB">
            <w:pPr>
              <w:rPr>
                <w:rFonts w:asciiTheme="majorHAnsi" w:hAnsiTheme="majorHAnsi" w:cstheme="majorHAnsi"/>
              </w:rPr>
            </w:pPr>
            <w:r w:rsidRPr="0068104D">
              <w:rPr>
                <w:rFonts w:asciiTheme="majorHAnsi" w:hAnsiTheme="majorHAnsi" w:cstheme="majorHAnsi"/>
              </w:rPr>
              <w:t>The Youth Homelessness Demonstration Program (YHDP)</w:t>
            </w:r>
            <w:r w:rsidR="00387D48">
              <w:rPr>
                <w:rFonts w:asciiTheme="majorHAnsi" w:hAnsiTheme="majorHAnsi" w:cstheme="majorHAnsi"/>
                <w:vertAlign w:val="superscript"/>
              </w:rPr>
              <w:t>17</w:t>
            </w:r>
            <w:r w:rsidRPr="0068104D">
              <w:rPr>
                <w:rFonts w:asciiTheme="majorHAnsi" w:hAnsiTheme="majorHAnsi" w:cstheme="majorHAnsi"/>
              </w:rPr>
              <w:t> </w:t>
            </w:r>
          </w:p>
        </w:tc>
        <w:tc>
          <w:tcPr>
            <w:tcW w:w="2542" w:type="dxa"/>
            <w:shd w:val="clear" w:color="auto" w:fill="auto"/>
            <w:hideMark/>
          </w:tcPr>
          <w:p w14:paraId="4889A61D" w14:textId="455F575D" w:rsidR="00C92EB7" w:rsidRPr="00241E30" w:rsidRDefault="00C92EB7" w:rsidP="00A40DEB">
            <w:pPr>
              <w:rPr>
                <w:rFonts w:asciiTheme="majorHAnsi" w:hAnsiTheme="majorHAnsi" w:cstheme="majorHAnsi"/>
                <w:vertAlign w:val="superscript"/>
              </w:rPr>
            </w:pPr>
            <w:r>
              <w:rPr>
                <w:rFonts w:asciiTheme="majorHAnsi" w:hAnsiTheme="majorHAnsi" w:cstheme="majorHAnsi"/>
              </w:rPr>
              <w:t>Y</w:t>
            </w:r>
            <w:r w:rsidRPr="0068104D">
              <w:rPr>
                <w:rFonts w:asciiTheme="majorHAnsi" w:hAnsiTheme="majorHAnsi" w:cstheme="majorHAnsi"/>
              </w:rPr>
              <w:t>outh experiencing homelessness, age 24 and under, including unaccompanied youth and pregnant or parenting youth who are experiencing homelessness.</w:t>
            </w:r>
            <w:r>
              <w:rPr>
                <w:rFonts w:asciiTheme="majorHAnsi" w:hAnsiTheme="majorHAnsi" w:cstheme="majorHAnsi"/>
                <w:vertAlign w:val="superscript"/>
              </w:rPr>
              <w:t>5</w:t>
            </w:r>
            <w:r w:rsidR="00403120">
              <w:rPr>
                <w:rFonts w:asciiTheme="majorHAnsi" w:hAnsiTheme="majorHAnsi" w:cstheme="majorHAnsi"/>
                <w:vertAlign w:val="superscript"/>
              </w:rPr>
              <w:t>2</w:t>
            </w:r>
          </w:p>
        </w:tc>
        <w:tc>
          <w:tcPr>
            <w:tcW w:w="2790" w:type="dxa"/>
            <w:shd w:val="clear" w:color="auto" w:fill="auto"/>
            <w:hideMark/>
          </w:tcPr>
          <w:p w14:paraId="63B68B50" w14:textId="31816329" w:rsidR="00C92EB7" w:rsidRPr="0068104D" w:rsidRDefault="00C92EB7" w:rsidP="00A40DEB">
            <w:pPr>
              <w:rPr>
                <w:rFonts w:asciiTheme="majorHAnsi" w:hAnsiTheme="majorHAnsi" w:cstheme="majorHAnsi"/>
              </w:rPr>
            </w:pPr>
            <w:r>
              <w:rPr>
                <w:rFonts w:asciiTheme="majorHAnsi" w:hAnsiTheme="majorHAnsi" w:cstheme="majorHAnsi"/>
              </w:rPr>
              <w:t>G</w:t>
            </w:r>
            <w:r w:rsidRPr="0068104D">
              <w:rPr>
                <w:rFonts w:asciiTheme="majorHAnsi" w:hAnsiTheme="majorHAnsi" w:cstheme="majorHAnsi"/>
              </w:rPr>
              <w:t>oal of the YHDP is to support selected communities, including rural, suburban, and urban areas across the United States, in developing and implementing a coordinated community approach to prevent and end youth homelessness.</w:t>
            </w:r>
            <w:r>
              <w:rPr>
                <w:rFonts w:asciiTheme="majorHAnsi" w:hAnsiTheme="majorHAnsi" w:cstheme="majorHAnsi"/>
                <w:vertAlign w:val="superscript"/>
              </w:rPr>
              <w:t>5</w:t>
            </w:r>
            <w:r w:rsidR="00403120">
              <w:rPr>
                <w:rFonts w:asciiTheme="majorHAnsi" w:hAnsiTheme="majorHAnsi" w:cstheme="majorHAnsi"/>
                <w:vertAlign w:val="superscript"/>
              </w:rPr>
              <w:t>2</w:t>
            </w:r>
          </w:p>
        </w:tc>
        <w:tc>
          <w:tcPr>
            <w:tcW w:w="3690" w:type="dxa"/>
            <w:shd w:val="clear" w:color="auto" w:fill="auto"/>
            <w:hideMark/>
          </w:tcPr>
          <w:p w14:paraId="6D0B61AA" w14:textId="032F0D75"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 xml:space="preserve">YHDP led to positive changes in youth-involved planning and governance, cross-system coordination, housing available to youth, services received by youth, and increases in the number of youth transitioning to permanent </w:t>
            </w:r>
            <w:proofErr w:type="gramStart"/>
            <w:r w:rsidRPr="0068104D">
              <w:rPr>
                <w:rFonts w:asciiTheme="majorHAnsi" w:hAnsiTheme="majorHAnsi" w:cstheme="majorHAnsi"/>
              </w:rPr>
              <w:t>housing  however</w:t>
            </w:r>
            <w:proofErr w:type="gramEnd"/>
            <w:r w:rsidRPr="0068104D">
              <w:rPr>
                <w:rFonts w:asciiTheme="majorHAnsi" w:hAnsiTheme="majorHAnsi" w:cstheme="majorHAnsi"/>
              </w:rPr>
              <w:t xml:space="preserve">, </w:t>
            </w:r>
            <w:r>
              <w:rPr>
                <w:rFonts w:asciiTheme="majorHAnsi" w:hAnsiTheme="majorHAnsi" w:cstheme="majorHAnsi"/>
              </w:rPr>
              <w:t>n</w:t>
            </w:r>
            <w:r w:rsidRPr="0068104D">
              <w:rPr>
                <w:rFonts w:asciiTheme="majorHAnsi" w:hAnsiTheme="majorHAnsi" w:cstheme="majorHAnsi"/>
              </w:rPr>
              <w:t>o clear or consistent pattern in the relationship between YHDP-influenced changes and the overall size and composition of the population served by these programs.</w:t>
            </w:r>
            <w:r>
              <w:rPr>
                <w:rFonts w:asciiTheme="majorHAnsi" w:hAnsiTheme="majorHAnsi" w:cstheme="majorHAnsi"/>
                <w:vertAlign w:val="superscript"/>
              </w:rPr>
              <w:t>5</w:t>
            </w:r>
            <w:r w:rsidR="00403120">
              <w:rPr>
                <w:rFonts w:asciiTheme="majorHAnsi" w:hAnsiTheme="majorHAnsi" w:cstheme="majorHAnsi"/>
                <w:vertAlign w:val="superscript"/>
              </w:rPr>
              <w:t>2</w:t>
            </w:r>
          </w:p>
        </w:tc>
        <w:tc>
          <w:tcPr>
            <w:tcW w:w="2340" w:type="dxa"/>
          </w:tcPr>
          <w:p w14:paraId="68AE9C49" w14:textId="77777777" w:rsidR="00C92EB7" w:rsidRDefault="00C92EB7" w:rsidP="00A40DEB">
            <w:pPr>
              <w:rPr>
                <w:rFonts w:asciiTheme="majorHAnsi" w:hAnsiTheme="majorHAnsi" w:cstheme="majorHAnsi"/>
              </w:rPr>
            </w:pPr>
            <w:r>
              <w:rPr>
                <w:rFonts w:asciiTheme="majorHAnsi" w:hAnsiTheme="majorHAnsi" w:cstheme="majorHAnsi"/>
              </w:rPr>
              <w:t>Housing</w:t>
            </w:r>
          </w:p>
          <w:p w14:paraId="0DAE7B28" w14:textId="77777777" w:rsidR="00C92EB7" w:rsidRDefault="00C92EB7" w:rsidP="00A40DEB">
            <w:pPr>
              <w:rPr>
                <w:rFonts w:asciiTheme="majorHAnsi" w:hAnsiTheme="majorHAnsi" w:cstheme="majorHAnsi"/>
              </w:rPr>
            </w:pPr>
            <w:r>
              <w:rPr>
                <w:rFonts w:asciiTheme="majorHAnsi" w:hAnsiTheme="majorHAnsi" w:cstheme="majorHAnsi"/>
              </w:rPr>
              <w:t>Supportive Services</w:t>
            </w:r>
          </w:p>
          <w:p w14:paraId="79B770D0" w14:textId="77777777" w:rsidR="00C92EB7" w:rsidRPr="0068104D" w:rsidRDefault="00C92EB7" w:rsidP="00A40DEB">
            <w:pPr>
              <w:rPr>
                <w:rFonts w:asciiTheme="majorHAnsi" w:hAnsiTheme="majorHAnsi" w:cstheme="majorHAnsi"/>
              </w:rPr>
            </w:pPr>
          </w:p>
        </w:tc>
      </w:tr>
      <w:tr w:rsidR="00C92EB7" w:rsidRPr="0068104D" w14:paraId="560FEB7D" w14:textId="77777777" w:rsidTr="00A40DEB">
        <w:trPr>
          <w:trHeight w:val="2582"/>
        </w:trPr>
        <w:tc>
          <w:tcPr>
            <w:tcW w:w="1683" w:type="dxa"/>
            <w:shd w:val="clear" w:color="auto" w:fill="auto"/>
            <w:hideMark/>
          </w:tcPr>
          <w:p w14:paraId="17F57874" w14:textId="001B2055" w:rsidR="00C92EB7" w:rsidRPr="007A1B3E" w:rsidRDefault="00C92EB7" w:rsidP="00A40DEB">
            <w:pPr>
              <w:rPr>
                <w:rFonts w:asciiTheme="majorHAnsi" w:hAnsiTheme="majorHAnsi" w:cstheme="majorHAnsi"/>
                <w:vertAlign w:val="superscript"/>
              </w:rPr>
            </w:pPr>
            <w:r>
              <w:rPr>
                <w:rFonts w:asciiTheme="majorHAnsi" w:hAnsiTheme="majorHAnsi" w:cstheme="majorHAnsi"/>
              </w:rPr>
              <w:lastRenderedPageBreak/>
              <w:t>T</w:t>
            </w:r>
            <w:r w:rsidRPr="0068104D">
              <w:rPr>
                <w:rFonts w:asciiTheme="majorHAnsi" w:hAnsiTheme="majorHAnsi" w:cstheme="majorHAnsi"/>
              </w:rPr>
              <w:t>he John H. Chafee Foster Care Independence Program (CFCIP)</w:t>
            </w:r>
            <w:r w:rsidR="00387D48">
              <w:rPr>
                <w:rFonts w:asciiTheme="majorHAnsi" w:hAnsiTheme="majorHAnsi" w:cstheme="majorHAnsi"/>
                <w:vertAlign w:val="superscript"/>
              </w:rPr>
              <w:t>17</w:t>
            </w:r>
          </w:p>
        </w:tc>
        <w:tc>
          <w:tcPr>
            <w:tcW w:w="2542" w:type="dxa"/>
            <w:shd w:val="clear" w:color="auto" w:fill="auto"/>
            <w:hideMark/>
          </w:tcPr>
          <w:p w14:paraId="3F1AAB4B" w14:textId="7C93B6D3" w:rsidR="00C92EB7" w:rsidRDefault="00C92EB7" w:rsidP="00A40DEB">
            <w:pPr>
              <w:rPr>
                <w:rFonts w:asciiTheme="majorHAnsi" w:hAnsiTheme="majorHAnsi" w:cstheme="majorHAnsi"/>
                <w:vertAlign w:val="superscript"/>
              </w:rPr>
            </w:pPr>
            <w:r>
              <w:rPr>
                <w:rFonts w:asciiTheme="majorHAnsi" w:hAnsiTheme="majorHAnsi" w:cstheme="majorHAnsi"/>
              </w:rPr>
              <w:t>Eligibility varies but largely consists of youth in</w:t>
            </w:r>
            <w:r w:rsidRPr="0068104D">
              <w:rPr>
                <w:rFonts w:asciiTheme="majorHAnsi" w:hAnsiTheme="majorHAnsi" w:cstheme="majorHAnsi"/>
              </w:rPr>
              <w:t xml:space="preserve"> foster care, ages 14 and older</w:t>
            </w:r>
            <w:r w:rsidRPr="0068104D">
              <w:rPr>
                <w:rFonts w:asciiTheme="majorHAnsi" w:hAnsiTheme="majorHAnsi" w:cstheme="majorHAnsi"/>
              </w:rPr>
              <w:br w:type="page"/>
            </w:r>
            <w:r>
              <w:rPr>
                <w:rFonts w:asciiTheme="majorHAnsi" w:hAnsiTheme="majorHAnsi" w:cstheme="majorHAnsi"/>
              </w:rPr>
              <w:t>, y</w:t>
            </w:r>
            <w:r w:rsidRPr="0068104D">
              <w:rPr>
                <w:rFonts w:asciiTheme="majorHAnsi" w:hAnsiTheme="majorHAnsi" w:cstheme="majorHAnsi"/>
              </w:rPr>
              <w:t xml:space="preserve">oung people in or formerly in foster care, ages 18 to 21, or 23 in some jurisdiction, youth who left foster care through adoption or guardianship at age 16 or older, </w:t>
            </w:r>
            <w:r>
              <w:rPr>
                <w:rFonts w:asciiTheme="majorHAnsi" w:hAnsiTheme="majorHAnsi" w:cstheme="majorHAnsi"/>
              </w:rPr>
              <w:t xml:space="preserve">and </w:t>
            </w:r>
            <w:r w:rsidRPr="0068104D">
              <w:rPr>
                <w:rFonts w:asciiTheme="majorHAnsi" w:hAnsiTheme="majorHAnsi" w:cstheme="majorHAnsi"/>
              </w:rPr>
              <w:t>youth “likely to age out of foster care”</w:t>
            </w:r>
            <w:r>
              <w:rPr>
                <w:rFonts w:asciiTheme="majorHAnsi" w:hAnsiTheme="majorHAnsi" w:cstheme="majorHAnsi"/>
              </w:rPr>
              <w:t>.</w:t>
            </w:r>
            <w:r>
              <w:rPr>
                <w:rFonts w:asciiTheme="majorHAnsi" w:hAnsiTheme="majorHAnsi" w:cstheme="majorHAnsi"/>
                <w:vertAlign w:val="superscript"/>
              </w:rPr>
              <w:t>5</w:t>
            </w:r>
            <w:r w:rsidR="00403120">
              <w:rPr>
                <w:rFonts w:asciiTheme="majorHAnsi" w:hAnsiTheme="majorHAnsi" w:cstheme="majorHAnsi"/>
                <w:vertAlign w:val="superscript"/>
              </w:rPr>
              <w:t>3</w:t>
            </w:r>
          </w:p>
          <w:p w14:paraId="7D2A3C13" w14:textId="77777777" w:rsidR="00C92EB7" w:rsidRDefault="00C92EB7" w:rsidP="00A40DEB">
            <w:pPr>
              <w:rPr>
                <w:rFonts w:asciiTheme="majorHAnsi" w:hAnsiTheme="majorHAnsi" w:cstheme="majorHAnsi"/>
                <w:vertAlign w:val="superscript"/>
              </w:rPr>
            </w:pPr>
          </w:p>
          <w:p w14:paraId="584FB151" w14:textId="77777777" w:rsidR="00C92EB7" w:rsidRPr="00241E30" w:rsidRDefault="00C92EB7" w:rsidP="00A40DEB">
            <w:pPr>
              <w:rPr>
                <w:rFonts w:asciiTheme="majorHAnsi" w:hAnsiTheme="majorHAnsi" w:cstheme="majorHAnsi"/>
                <w:vertAlign w:val="superscript"/>
              </w:rPr>
            </w:pPr>
          </w:p>
        </w:tc>
        <w:tc>
          <w:tcPr>
            <w:tcW w:w="2790" w:type="dxa"/>
            <w:shd w:val="clear" w:color="auto" w:fill="auto"/>
            <w:hideMark/>
          </w:tcPr>
          <w:p w14:paraId="0452598E" w14:textId="3FADC0A3" w:rsidR="00C92EB7" w:rsidRPr="0068104D" w:rsidRDefault="00C92EB7" w:rsidP="00A40DEB">
            <w:pPr>
              <w:rPr>
                <w:rFonts w:asciiTheme="majorHAnsi" w:hAnsiTheme="majorHAnsi" w:cstheme="majorHAnsi"/>
              </w:rPr>
            </w:pPr>
            <w:r w:rsidRPr="0068104D">
              <w:rPr>
                <w:rFonts w:asciiTheme="majorHAnsi" w:hAnsiTheme="majorHAnsi" w:cstheme="majorHAnsi"/>
              </w:rPr>
              <w:t>Provides funding to support youth/ young adults in or formerly in foster care in their transition to adulthood.</w:t>
            </w:r>
            <w:r>
              <w:rPr>
                <w:rFonts w:asciiTheme="majorHAnsi" w:hAnsiTheme="majorHAnsi" w:cstheme="majorHAnsi"/>
                <w:vertAlign w:val="superscript"/>
              </w:rPr>
              <w:t>5</w:t>
            </w:r>
            <w:r w:rsidR="00403120">
              <w:rPr>
                <w:rFonts w:asciiTheme="majorHAnsi" w:hAnsiTheme="majorHAnsi" w:cstheme="majorHAnsi"/>
                <w:vertAlign w:val="superscript"/>
              </w:rPr>
              <w:t>3</w:t>
            </w:r>
          </w:p>
        </w:tc>
        <w:tc>
          <w:tcPr>
            <w:tcW w:w="3690" w:type="dxa"/>
            <w:shd w:val="clear" w:color="auto" w:fill="auto"/>
            <w:hideMark/>
          </w:tcPr>
          <w:p w14:paraId="664249FE" w14:textId="03CE729A"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Participants have higher graduation rates</w:t>
            </w:r>
            <w:r>
              <w:rPr>
                <w:rFonts w:asciiTheme="majorHAnsi" w:hAnsiTheme="majorHAnsi" w:cstheme="majorHAnsi"/>
              </w:rPr>
              <w:t xml:space="preserve">, higher </w:t>
            </w:r>
            <w:r w:rsidRPr="0068104D">
              <w:rPr>
                <w:rFonts w:asciiTheme="majorHAnsi" w:hAnsiTheme="majorHAnsi" w:cstheme="majorHAnsi"/>
              </w:rPr>
              <w:t>postsecondary education rates, increased employment rates, and decreased incarceration rates.</w:t>
            </w:r>
            <w:r>
              <w:rPr>
                <w:rFonts w:asciiTheme="majorHAnsi" w:hAnsiTheme="majorHAnsi" w:cstheme="majorHAnsi"/>
                <w:vertAlign w:val="superscript"/>
              </w:rPr>
              <w:t>5</w:t>
            </w:r>
            <w:r w:rsidR="00403120">
              <w:rPr>
                <w:rFonts w:asciiTheme="majorHAnsi" w:hAnsiTheme="majorHAnsi" w:cstheme="majorHAnsi"/>
                <w:vertAlign w:val="superscript"/>
              </w:rPr>
              <w:t>3</w:t>
            </w:r>
          </w:p>
        </w:tc>
        <w:tc>
          <w:tcPr>
            <w:tcW w:w="2340" w:type="dxa"/>
          </w:tcPr>
          <w:p w14:paraId="181D71F6" w14:textId="77777777" w:rsidR="00C92EB7" w:rsidRDefault="00C92EB7" w:rsidP="00A40DEB">
            <w:pPr>
              <w:rPr>
                <w:rFonts w:asciiTheme="majorHAnsi" w:hAnsiTheme="majorHAnsi" w:cstheme="majorHAnsi"/>
              </w:rPr>
            </w:pPr>
            <w:r>
              <w:rPr>
                <w:rFonts w:asciiTheme="majorHAnsi" w:hAnsiTheme="majorHAnsi" w:cstheme="majorHAnsi"/>
              </w:rPr>
              <w:t>Supportive Services</w:t>
            </w:r>
          </w:p>
          <w:p w14:paraId="3CA9B84B" w14:textId="77777777" w:rsidR="00C92EB7" w:rsidRPr="0068104D" w:rsidRDefault="00C92EB7" w:rsidP="00A40DEB">
            <w:pPr>
              <w:rPr>
                <w:rFonts w:asciiTheme="majorHAnsi" w:hAnsiTheme="majorHAnsi" w:cstheme="majorHAnsi"/>
              </w:rPr>
            </w:pPr>
          </w:p>
        </w:tc>
      </w:tr>
      <w:tr w:rsidR="00C92EB7" w:rsidRPr="0068104D" w14:paraId="53682B5E" w14:textId="77777777" w:rsidTr="00A40DEB">
        <w:trPr>
          <w:trHeight w:val="1680"/>
        </w:trPr>
        <w:tc>
          <w:tcPr>
            <w:tcW w:w="1683" w:type="dxa"/>
            <w:shd w:val="clear" w:color="auto" w:fill="auto"/>
            <w:hideMark/>
          </w:tcPr>
          <w:p w14:paraId="3BC9F6DF" w14:textId="71D2EAAF" w:rsidR="00C92EB7" w:rsidRPr="0068104D" w:rsidRDefault="00C92EB7" w:rsidP="00A40DEB">
            <w:pPr>
              <w:rPr>
                <w:rFonts w:asciiTheme="majorHAnsi" w:hAnsiTheme="majorHAnsi" w:cstheme="majorHAnsi"/>
              </w:rPr>
            </w:pPr>
            <w:r w:rsidRPr="0068104D">
              <w:rPr>
                <w:rFonts w:asciiTheme="majorHAnsi" w:hAnsiTheme="majorHAnsi" w:cstheme="majorHAnsi"/>
              </w:rPr>
              <w:t>The Temporary Assistance for Needy Families (TANF)</w:t>
            </w:r>
            <w:r w:rsidR="00387D48">
              <w:rPr>
                <w:rFonts w:asciiTheme="majorHAnsi" w:hAnsiTheme="majorHAnsi" w:cstheme="majorHAnsi"/>
                <w:vertAlign w:val="superscript"/>
              </w:rPr>
              <w:t>17</w:t>
            </w:r>
          </w:p>
        </w:tc>
        <w:tc>
          <w:tcPr>
            <w:tcW w:w="2542" w:type="dxa"/>
            <w:shd w:val="clear" w:color="auto" w:fill="auto"/>
            <w:hideMark/>
          </w:tcPr>
          <w:p w14:paraId="4E10A865" w14:textId="4B747CD4" w:rsidR="00C92EB7" w:rsidRPr="00241E30" w:rsidRDefault="00C92EB7" w:rsidP="00A40DEB">
            <w:pPr>
              <w:rPr>
                <w:rFonts w:asciiTheme="majorHAnsi" w:hAnsiTheme="majorHAnsi" w:cstheme="majorHAnsi"/>
                <w:vertAlign w:val="superscript"/>
              </w:rPr>
            </w:pPr>
            <w:r>
              <w:rPr>
                <w:rFonts w:asciiTheme="majorHAnsi" w:hAnsiTheme="majorHAnsi" w:cstheme="majorHAnsi"/>
              </w:rPr>
              <w:t>L</w:t>
            </w:r>
            <w:r w:rsidRPr="0068104D">
              <w:rPr>
                <w:rFonts w:asciiTheme="majorHAnsi" w:hAnsiTheme="majorHAnsi" w:cstheme="majorHAnsi"/>
              </w:rPr>
              <w:t xml:space="preserve">ow-income families with children, </w:t>
            </w:r>
            <w:r>
              <w:rPr>
                <w:rFonts w:asciiTheme="majorHAnsi" w:hAnsiTheme="majorHAnsi" w:cstheme="majorHAnsi"/>
              </w:rPr>
              <w:t xml:space="preserve">with </w:t>
            </w:r>
            <w:r w:rsidRPr="0068104D">
              <w:rPr>
                <w:rFonts w:asciiTheme="majorHAnsi" w:hAnsiTheme="majorHAnsi" w:cstheme="majorHAnsi"/>
              </w:rPr>
              <w:t>exact requirements up to specific location</w:t>
            </w:r>
            <w:r>
              <w:rPr>
                <w:rFonts w:asciiTheme="majorHAnsi" w:hAnsiTheme="majorHAnsi" w:cstheme="majorHAnsi"/>
              </w:rPr>
              <w:t>.</w:t>
            </w:r>
            <w:r>
              <w:rPr>
                <w:rFonts w:asciiTheme="majorHAnsi" w:hAnsiTheme="majorHAnsi" w:cstheme="majorHAnsi"/>
                <w:vertAlign w:val="superscript"/>
              </w:rPr>
              <w:t>5</w:t>
            </w:r>
            <w:r w:rsidR="00403120">
              <w:rPr>
                <w:rFonts w:asciiTheme="majorHAnsi" w:hAnsiTheme="majorHAnsi" w:cstheme="majorHAnsi"/>
                <w:vertAlign w:val="superscript"/>
              </w:rPr>
              <w:t>4</w:t>
            </w:r>
          </w:p>
        </w:tc>
        <w:tc>
          <w:tcPr>
            <w:tcW w:w="2790" w:type="dxa"/>
            <w:shd w:val="clear" w:color="auto" w:fill="auto"/>
            <w:hideMark/>
          </w:tcPr>
          <w:p w14:paraId="70190D4B" w14:textId="5D8A71B3" w:rsidR="00C92EB7" w:rsidRPr="00241E30" w:rsidRDefault="00C92EB7" w:rsidP="00A40DEB">
            <w:pPr>
              <w:rPr>
                <w:rFonts w:asciiTheme="majorHAnsi" w:hAnsiTheme="majorHAnsi" w:cstheme="majorHAnsi"/>
                <w:vertAlign w:val="superscript"/>
              </w:rPr>
            </w:pPr>
            <w:r>
              <w:rPr>
                <w:rFonts w:asciiTheme="majorHAnsi" w:hAnsiTheme="majorHAnsi" w:cstheme="majorHAnsi"/>
              </w:rPr>
              <w:t>P</w:t>
            </w:r>
            <w:r w:rsidRPr="0068104D">
              <w:rPr>
                <w:rFonts w:asciiTheme="majorHAnsi" w:hAnsiTheme="majorHAnsi" w:cstheme="majorHAnsi"/>
              </w:rPr>
              <w:t>rovides states, tribes, and territories with flexibility in operating programs designed to help low-income families with children move toward economic self-sufficiency. TANF agencies use funds to offer an array of services to eligible youth and families.</w:t>
            </w:r>
            <w:r>
              <w:rPr>
                <w:rFonts w:asciiTheme="majorHAnsi" w:hAnsiTheme="majorHAnsi" w:cstheme="majorHAnsi"/>
                <w:vertAlign w:val="superscript"/>
              </w:rPr>
              <w:t>5</w:t>
            </w:r>
            <w:r w:rsidR="00403120">
              <w:rPr>
                <w:rFonts w:asciiTheme="majorHAnsi" w:hAnsiTheme="majorHAnsi" w:cstheme="majorHAnsi"/>
                <w:vertAlign w:val="superscript"/>
              </w:rPr>
              <w:t>4</w:t>
            </w:r>
          </w:p>
        </w:tc>
        <w:tc>
          <w:tcPr>
            <w:tcW w:w="3690" w:type="dxa"/>
            <w:shd w:val="clear" w:color="auto" w:fill="auto"/>
            <w:hideMark/>
          </w:tcPr>
          <w:p w14:paraId="0C1FF7F3" w14:textId="56A8F87F" w:rsidR="00C92EB7" w:rsidRDefault="00C92EB7" w:rsidP="00A40DEB">
            <w:pPr>
              <w:rPr>
                <w:rFonts w:asciiTheme="majorHAnsi" w:hAnsiTheme="majorHAnsi" w:cstheme="majorHAnsi"/>
                <w:vertAlign w:val="superscript"/>
              </w:rPr>
            </w:pPr>
            <w:r>
              <w:rPr>
                <w:rFonts w:asciiTheme="majorHAnsi" w:hAnsiTheme="majorHAnsi" w:cstheme="majorHAnsi"/>
              </w:rPr>
              <w:t>P</w:t>
            </w:r>
            <w:r w:rsidRPr="0068104D">
              <w:rPr>
                <w:rFonts w:asciiTheme="majorHAnsi" w:hAnsiTheme="majorHAnsi" w:cstheme="majorHAnsi"/>
              </w:rPr>
              <w:t xml:space="preserve">roven success with continuous funding </w:t>
            </w:r>
            <w:proofErr w:type="gramStart"/>
            <w:r w:rsidRPr="0068104D">
              <w:rPr>
                <w:rFonts w:asciiTheme="majorHAnsi" w:hAnsiTheme="majorHAnsi" w:cstheme="majorHAnsi"/>
              </w:rPr>
              <w:t>since</w:t>
            </w:r>
            <w:proofErr w:type="gramEnd"/>
            <w:r w:rsidRPr="0068104D">
              <w:rPr>
                <w:rFonts w:asciiTheme="majorHAnsi" w:hAnsiTheme="majorHAnsi" w:cstheme="majorHAnsi"/>
              </w:rPr>
              <w:t xml:space="preserve"> enacted in 1996</w:t>
            </w:r>
            <w:r>
              <w:rPr>
                <w:rFonts w:asciiTheme="majorHAnsi" w:hAnsiTheme="majorHAnsi" w:cstheme="majorHAnsi"/>
              </w:rPr>
              <w:t xml:space="preserve">.  An observed </w:t>
            </w:r>
            <w:r w:rsidRPr="0068104D">
              <w:rPr>
                <w:rFonts w:asciiTheme="majorHAnsi" w:hAnsiTheme="majorHAnsi" w:cstheme="majorHAnsi"/>
              </w:rPr>
              <w:t xml:space="preserve">increased level of employment and educational </w:t>
            </w:r>
            <w:r>
              <w:rPr>
                <w:rFonts w:asciiTheme="majorHAnsi" w:hAnsiTheme="majorHAnsi" w:cstheme="majorHAnsi"/>
              </w:rPr>
              <w:t>attainment has been found amongst particpants.</w:t>
            </w:r>
            <w:r>
              <w:rPr>
                <w:rFonts w:asciiTheme="majorHAnsi" w:hAnsiTheme="majorHAnsi" w:cstheme="majorHAnsi"/>
                <w:vertAlign w:val="superscript"/>
              </w:rPr>
              <w:t>5</w:t>
            </w:r>
            <w:r w:rsidR="00403120">
              <w:rPr>
                <w:rFonts w:asciiTheme="majorHAnsi" w:hAnsiTheme="majorHAnsi" w:cstheme="majorHAnsi"/>
                <w:vertAlign w:val="superscript"/>
              </w:rPr>
              <w:t>4</w:t>
            </w:r>
          </w:p>
          <w:p w14:paraId="4177E8F0" w14:textId="77777777" w:rsidR="00C92EB7" w:rsidRDefault="00C92EB7" w:rsidP="00A40DEB">
            <w:pPr>
              <w:rPr>
                <w:rFonts w:asciiTheme="majorHAnsi" w:hAnsiTheme="majorHAnsi" w:cstheme="majorHAnsi"/>
                <w:vertAlign w:val="superscript"/>
              </w:rPr>
            </w:pPr>
          </w:p>
          <w:p w14:paraId="303019DA" w14:textId="77777777" w:rsidR="00C92EB7" w:rsidRDefault="00C92EB7" w:rsidP="00A40DEB">
            <w:pPr>
              <w:rPr>
                <w:rFonts w:asciiTheme="majorHAnsi" w:hAnsiTheme="majorHAnsi" w:cstheme="majorHAnsi"/>
                <w:vertAlign w:val="superscript"/>
              </w:rPr>
            </w:pPr>
          </w:p>
          <w:p w14:paraId="405C91CB" w14:textId="77777777" w:rsidR="00C92EB7" w:rsidRDefault="00C92EB7" w:rsidP="00A40DEB">
            <w:pPr>
              <w:rPr>
                <w:rFonts w:asciiTheme="majorHAnsi" w:hAnsiTheme="majorHAnsi" w:cstheme="majorHAnsi"/>
                <w:vertAlign w:val="superscript"/>
              </w:rPr>
            </w:pPr>
          </w:p>
          <w:p w14:paraId="3A51EB2B" w14:textId="77777777" w:rsidR="00C92EB7" w:rsidRDefault="00C92EB7" w:rsidP="00A40DEB">
            <w:pPr>
              <w:rPr>
                <w:rFonts w:asciiTheme="majorHAnsi" w:hAnsiTheme="majorHAnsi" w:cstheme="majorHAnsi"/>
                <w:vertAlign w:val="superscript"/>
              </w:rPr>
            </w:pPr>
          </w:p>
          <w:p w14:paraId="73B7A2F7" w14:textId="77777777" w:rsidR="00C92EB7" w:rsidRDefault="00C92EB7" w:rsidP="00A40DEB">
            <w:pPr>
              <w:rPr>
                <w:rFonts w:asciiTheme="majorHAnsi" w:hAnsiTheme="majorHAnsi" w:cstheme="majorHAnsi"/>
                <w:vertAlign w:val="superscript"/>
              </w:rPr>
            </w:pPr>
          </w:p>
          <w:p w14:paraId="66F3CF78" w14:textId="77777777" w:rsidR="00C92EB7" w:rsidRPr="00241E30" w:rsidRDefault="00C92EB7" w:rsidP="00A40DEB">
            <w:pPr>
              <w:rPr>
                <w:rFonts w:asciiTheme="majorHAnsi" w:hAnsiTheme="majorHAnsi" w:cstheme="majorHAnsi"/>
                <w:vertAlign w:val="superscript"/>
              </w:rPr>
            </w:pPr>
          </w:p>
        </w:tc>
        <w:tc>
          <w:tcPr>
            <w:tcW w:w="2340" w:type="dxa"/>
          </w:tcPr>
          <w:p w14:paraId="326B249B" w14:textId="77777777" w:rsidR="00C92EB7" w:rsidRDefault="00C92EB7" w:rsidP="00A40DEB">
            <w:pPr>
              <w:rPr>
                <w:rFonts w:asciiTheme="majorHAnsi" w:hAnsiTheme="majorHAnsi" w:cstheme="majorHAnsi"/>
              </w:rPr>
            </w:pPr>
            <w:r>
              <w:rPr>
                <w:rFonts w:asciiTheme="majorHAnsi" w:hAnsiTheme="majorHAnsi" w:cstheme="majorHAnsi"/>
              </w:rPr>
              <w:t>Financial Support</w:t>
            </w:r>
          </w:p>
        </w:tc>
      </w:tr>
      <w:tr w:rsidR="00C92EB7" w:rsidRPr="0068104D" w14:paraId="1DCD8E6C" w14:textId="77777777" w:rsidTr="00A40DEB">
        <w:trPr>
          <w:trHeight w:val="494"/>
        </w:trPr>
        <w:tc>
          <w:tcPr>
            <w:tcW w:w="1683" w:type="dxa"/>
            <w:shd w:val="clear" w:color="auto" w:fill="auto"/>
            <w:hideMark/>
          </w:tcPr>
          <w:p w14:paraId="5E54A5EA" w14:textId="7447E98A" w:rsidR="00C92EB7" w:rsidRPr="007A1B3E" w:rsidRDefault="00C92EB7" w:rsidP="00A40DEB">
            <w:pPr>
              <w:rPr>
                <w:rFonts w:asciiTheme="majorHAnsi" w:hAnsiTheme="majorHAnsi" w:cstheme="majorHAnsi"/>
                <w:vertAlign w:val="superscript"/>
              </w:rPr>
            </w:pPr>
            <w:r>
              <w:rPr>
                <w:rFonts w:asciiTheme="majorHAnsi" w:hAnsiTheme="majorHAnsi" w:cstheme="majorHAnsi"/>
              </w:rPr>
              <w:t>O</w:t>
            </w:r>
            <w:r w:rsidRPr="0068104D">
              <w:rPr>
                <w:rFonts w:asciiTheme="majorHAnsi" w:hAnsiTheme="majorHAnsi" w:cstheme="majorHAnsi"/>
              </w:rPr>
              <w:t xml:space="preserve">ffice of </w:t>
            </w:r>
            <w:r>
              <w:rPr>
                <w:rFonts w:asciiTheme="majorHAnsi" w:hAnsiTheme="majorHAnsi" w:cstheme="majorHAnsi"/>
              </w:rPr>
              <w:t>C</w:t>
            </w:r>
            <w:r w:rsidRPr="0068104D">
              <w:rPr>
                <w:rFonts w:asciiTheme="majorHAnsi" w:hAnsiTheme="majorHAnsi" w:cstheme="majorHAnsi"/>
              </w:rPr>
              <w:t xml:space="preserve">hild </w:t>
            </w:r>
            <w:r>
              <w:rPr>
                <w:rFonts w:asciiTheme="majorHAnsi" w:hAnsiTheme="majorHAnsi" w:cstheme="majorHAnsi"/>
              </w:rPr>
              <w:t>S</w:t>
            </w:r>
            <w:r w:rsidRPr="0068104D">
              <w:rPr>
                <w:rFonts w:asciiTheme="majorHAnsi" w:hAnsiTheme="majorHAnsi" w:cstheme="majorHAnsi"/>
              </w:rPr>
              <w:t xml:space="preserve">upport </w:t>
            </w:r>
            <w:r>
              <w:rPr>
                <w:rFonts w:asciiTheme="majorHAnsi" w:hAnsiTheme="majorHAnsi" w:cstheme="majorHAnsi"/>
              </w:rPr>
              <w:t>S</w:t>
            </w:r>
            <w:r w:rsidRPr="0068104D">
              <w:rPr>
                <w:rFonts w:asciiTheme="majorHAnsi" w:hAnsiTheme="majorHAnsi" w:cstheme="majorHAnsi"/>
              </w:rPr>
              <w:t>ervices</w:t>
            </w:r>
            <w:r w:rsidR="00387D48">
              <w:rPr>
                <w:rFonts w:asciiTheme="majorHAnsi" w:hAnsiTheme="majorHAnsi" w:cstheme="majorHAnsi"/>
                <w:vertAlign w:val="superscript"/>
              </w:rPr>
              <w:t>17</w:t>
            </w:r>
          </w:p>
        </w:tc>
        <w:tc>
          <w:tcPr>
            <w:tcW w:w="2542" w:type="dxa"/>
            <w:shd w:val="clear" w:color="auto" w:fill="auto"/>
            <w:hideMark/>
          </w:tcPr>
          <w:p w14:paraId="706DEA01" w14:textId="019F6CA1"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Varies</w:t>
            </w:r>
            <w:r>
              <w:rPr>
                <w:rFonts w:asciiTheme="majorHAnsi" w:hAnsiTheme="majorHAnsi" w:cstheme="majorHAnsi"/>
                <w:vertAlign w:val="superscript"/>
              </w:rPr>
              <w:t>5</w:t>
            </w:r>
            <w:r w:rsidR="00403120">
              <w:rPr>
                <w:rFonts w:asciiTheme="majorHAnsi" w:hAnsiTheme="majorHAnsi" w:cstheme="majorHAnsi"/>
                <w:vertAlign w:val="superscript"/>
              </w:rPr>
              <w:t>5</w:t>
            </w:r>
          </w:p>
        </w:tc>
        <w:tc>
          <w:tcPr>
            <w:tcW w:w="2790" w:type="dxa"/>
            <w:shd w:val="clear" w:color="auto" w:fill="auto"/>
            <w:hideMark/>
          </w:tcPr>
          <w:p w14:paraId="43B72D10" w14:textId="793FC5C2" w:rsidR="00C92EB7" w:rsidRPr="00241E30" w:rsidRDefault="00C92EB7" w:rsidP="00A40DEB">
            <w:pPr>
              <w:rPr>
                <w:rFonts w:asciiTheme="majorHAnsi" w:hAnsiTheme="majorHAnsi" w:cstheme="majorHAnsi"/>
                <w:vertAlign w:val="superscript"/>
              </w:rPr>
            </w:pPr>
            <w:r>
              <w:rPr>
                <w:rFonts w:asciiTheme="majorHAnsi" w:hAnsiTheme="majorHAnsi" w:cstheme="majorHAnsi"/>
              </w:rPr>
              <w:t>H</w:t>
            </w:r>
            <w:r w:rsidRPr="0068104D">
              <w:rPr>
                <w:rFonts w:asciiTheme="majorHAnsi" w:hAnsiTheme="majorHAnsi" w:cstheme="majorHAnsi"/>
              </w:rPr>
              <w:t>elps connect families with local child support programs that locate parents, establish paternity, and set child support orders.</w:t>
            </w:r>
            <w:r>
              <w:rPr>
                <w:rFonts w:asciiTheme="majorHAnsi" w:hAnsiTheme="majorHAnsi" w:cstheme="majorHAnsi"/>
                <w:vertAlign w:val="superscript"/>
              </w:rPr>
              <w:t>5</w:t>
            </w:r>
            <w:r w:rsidR="00403120">
              <w:rPr>
                <w:rFonts w:asciiTheme="majorHAnsi" w:hAnsiTheme="majorHAnsi" w:cstheme="majorHAnsi"/>
                <w:vertAlign w:val="superscript"/>
              </w:rPr>
              <w:t>5</w:t>
            </w:r>
          </w:p>
        </w:tc>
        <w:tc>
          <w:tcPr>
            <w:tcW w:w="3690" w:type="dxa"/>
            <w:shd w:val="clear" w:color="auto" w:fill="auto"/>
            <w:hideMark/>
          </w:tcPr>
          <w:p w14:paraId="65488CA9" w14:textId="78BB31AE" w:rsidR="00C92EB7" w:rsidRPr="00241E30" w:rsidRDefault="00C92EB7" w:rsidP="00A40DEB">
            <w:pPr>
              <w:rPr>
                <w:rFonts w:asciiTheme="majorHAnsi" w:hAnsiTheme="majorHAnsi" w:cstheme="majorHAnsi"/>
                <w:vertAlign w:val="superscript"/>
              </w:rPr>
            </w:pPr>
            <w:r>
              <w:rPr>
                <w:rFonts w:asciiTheme="majorHAnsi" w:hAnsiTheme="majorHAnsi" w:cstheme="majorHAnsi"/>
              </w:rPr>
              <w:t>R</w:t>
            </w:r>
            <w:r w:rsidRPr="0068104D">
              <w:rPr>
                <w:rFonts w:asciiTheme="majorHAnsi" w:hAnsiTheme="majorHAnsi" w:cstheme="majorHAnsi"/>
              </w:rPr>
              <w:t>esults vary</w:t>
            </w:r>
            <w:r>
              <w:rPr>
                <w:rFonts w:asciiTheme="majorHAnsi" w:hAnsiTheme="majorHAnsi" w:cstheme="majorHAnsi"/>
              </w:rPr>
              <w:t>,</w:t>
            </w:r>
            <w:r w:rsidRPr="0068104D">
              <w:rPr>
                <w:rFonts w:asciiTheme="majorHAnsi" w:hAnsiTheme="majorHAnsi" w:cstheme="majorHAnsi"/>
              </w:rPr>
              <w:t xml:space="preserve"> but data supports that </w:t>
            </w:r>
            <w:r>
              <w:rPr>
                <w:rFonts w:asciiTheme="majorHAnsi" w:hAnsiTheme="majorHAnsi" w:cstheme="majorHAnsi"/>
              </w:rPr>
              <w:t>c</w:t>
            </w:r>
            <w:r w:rsidRPr="0068104D">
              <w:rPr>
                <w:rFonts w:asciiTheme="majorHAnsi" w:hAnsiTheme="majorHAnsi" w:cstheme="majorHAnsi"/>
              </w:rPr>
              <w:t>hildren thrive when they receive financial, emotional, and medical support from both parents, even when they live in separate households</w:t>
            </w:r>
            <w:r>
              <w:rPr>
                <w:rFonts w:asciiTheme="majorHAnsi" w:hAnsiTheme="majorHAnsi" w:cstheme="majorHAnsi"/>
              </w:rPr>
              <w:t>.</w:t>
            </w:r>
            <w:r>
              <w:rPr>
                <w:rFonts w:asciiTheme="majorHAnsi" w:hAnsiTheme="majorHAnsi" w:cstheme="majorHAnsi"/>
                <w:vertAlign w:val="superscript"/>
              </w:rPr>
              <w:t>5</w:t>
            </w:r>
            <w:r w:rsidR="00403120">
              <w:rPr>
                <w:rFonts w:asciiTheme="majorHAnsi" w:hAnsiTheme="majorHAnsi" w:cstheme="majorHAnsi"/>
                <w:vertAlign w:val="superscript"/>
              </w:rPr>
              <w:t>5</w:t>
            </w:r>
          </w:p>
        </w:tc>
        <w:tc>
          <w:tcPr>
            <w:tcW w:w="2340" w:type="dxa"/>
          </w:tcPr>
          <w:p w14:paraId="2B492509" w14:textId="77777777" w:rsidR="00C92EB7" w:rsidRDefault="00C92EB7" w:rsidP="00A40DEB">
            <w:pPr>
              <w:rPr>
                <w:rFonts w:asciiTheme="majorHAnsi" w:hAnsiTheme="majorHAnsi" w:cstheme="majorHAnsi"/>
              </w:rPr>
            </w:pPr>
            <w:r>
              <w:rPr>
                <w:rFonts w:asciiTheme="majorHAnsi" w:hAnsiTheme="majorHAnsi" w:cstheme="majorHAnsi"/>
              </w:rPr>
              <w:t>Supportive Services</w:t>
            </w:r>
          </w:p>
          <w:p w14:paraId="301E847D" w14:textId="77777777" w:rsidR="00C92EB7" w:rsidRDefault="00C92EB7" w:rsidP="00A40DEB">
            <w:pPr>
              <w:rPr>
                <w:rFonts w:asciiTheme="majorHAnsi" w:hAnsiTheme="majorHAnsi" w:cstheme="majorHAnsi"/>
              </w:rPr>
            </w:pPr>
          </w:p>
        </w:tc>
      </w:tr>
      <w:tr w:rsidR="00C92EB7" w:rsidRPr="0068104D" w14:paraId="6514F262" w14:textId="77777777" w:rsidTr="00A40DEB">
        <w:trPr>
          <w:trHeight w:val="2492"/>
        </w:trPr>
        <w:tc>
          <w:tcPr>
            <w:tcW w:w="1683" w:type="dxa"/>
            <w:shd w:val="clear" w:color="auto" w:fill="auto"/>
            <w:hideMark/>
          </w:tcPr>
          <w:p w14:paraId="71DD84FF" w14:textId="7A34CDE1" w:rsidR="00C92EB7" w:rsidRPr="007A1B3E" w:rsidRDefault="00C92EB7" w:rsidP="00A40DEB">
            <w:pPr>
              <w:rPr>
                <w:rFonts w:asciiTheme="majorHAnsi" w:hAnsiTheme="majorHAnsi" w:cstheme="majorHAnsi"/>
                <w:vertAlign w:val="superscript"/>
              </w:rPr>
            </w:pPr>
            <w:r>
              <w:rPr>
                <w:rFonts w:asciiTheme="majorHAnsi" w:hAnsiTheme="majorHAnsi" w:cstheme="majorHAnsi"/>
              </w:rPr>
              <w:lastRenderedPageBreak/>
              <w:t>T</w:t>
            </w:r>
            <w:r w:rsidRPr="0068104D">
              <w:rPr>
                <w:rFonts w:asciiTheme="majorHAnsi" w:hAnsiTheme="majorHAnsi" w:cstheme="majorHAnsi"/>
              </w:rPr>
              <w:t>he Supplemental Nutrition Assistance Program (SNAP</w:t>
            </w:r>
            <w:r>
              <w:rPr>
                <w:rFonts w:asciiTheme="majorHAnsi" w:hAnsiTheme="majorHAnsi" w:cstheme="majorHAnsi"/>
              </w:rPr>
              <w:t>)</w:t>
            </w:r>
            <w:r w:rsidR="00387D48">
              <w:rPr>
                <w:rFonts w:asciiTheme="majorHAnsi" w:hAnsiTheme="majorHAnsi" w:cstheme="majorHAnsi"/>
                <w:vertAlign w:val="superscript"/>
              </w:rPr>
              <w:t>17</w:t>
            </w:r>
          </w:p>
        </w:tc>
        <w:tc>
          <w:tcPr>
            <w:tcW w:w="2542" w:type="dxa"/>
            <w:shd w:val="clear" w:color="auto" w:fill="auto"/>
            <w:hideMark/>
          </w:tcPr>
          <w:p w14:paraId="5A441A94" w14:textId="29A707F6" w:rsidR="00C92EB7" w:rsidRPr="00241E30" w:rsidRDefault="00C92EB7" w:rsidP="00A40DEB">
            <w:pPr>
              <w:rPr>
                <w:rFonts w:asciiTheme="majorHAnsi" w:hAnsiTheme="majorHAnsi" w:cstheme="majorHAnsi"/>
                <w:vertAlign w:val="superscript"/>
              </w:rPr>
            </w:pPr>
            <w:r>
              <w:rPr>
                <w:rFonts w:asciiTheme="majorHAnsi" w:hAnsiTheme="majorHAnsi" w:cstheme="majorHAnsi"/>
              </w:rPr>
              <w:t>Eligibility varies, but specifically lists</w:t>
            </w:r>
            <w:r w:rsidRPr="0068104D">
              <w:rPr>
                <w:rFonts w:asciiTheme="majorHAnsi" w:hAnsiTheme="majorHAnsi" w:cstheme="majorHAnsi"/>
              </w:rPr>
              <w:t xml:space="preserve"> </w:t>
            </w:r>
            <w:proofErr w:type="gramStart"/>
            <w:r w:rsidRPr="0068104D">
              <w:rPr>
                <w:rFonts w:asciiTheme="majorHAnsi" w:hAnsiTheme="majorHAnsi" w:cstheme="majorHAnsi"/>
              </w:rPr>
              <w:t>individual</w:t>
            </w:r>
            <w:proofErr w:type="gramEnd"/>
            <w:r w:rsidRPr="0068104D">
              <w:rPr>
                <w:rFonts w:asciiTheme="majorHAnsi" w:hAnsiTheme="majorHAnsi" w:cstheme="majorHAnsi"/>
              </w:rPr>
              <w:t xml:space="preserve"> who lacks a fixed and regular nighttime residence.</w:t>
            </w:r>
            <w:r w:rsidR="00403120">
              <w:rPr>
                <w:rFonts w:asciiTheme="majorHAnsi" w:hAnsiTheme="majorHAnsi" w:cstheme="majorHAnsi"/>
                <w:vertAlign w:val="superscript"/>
              </w:rPr>
              <w:t>56</w:t>
            </w:r>
          </w:p>
        </w:tc>
        <w:tc>
          <w:tcPr>
            <w:tcW w:w="2790" w:type="dxa"/>
            <w:shd w:val="clear" w:color="auto" w:fill="auto"/>
            <w:hideMark/>
          </w:tcPr>
          <w:p w14:paraId="01BC87FF" w14:textId="3C29C6E0" w:rsidR="00C92EB7" w:rsidRPr="00241E30" w:rsidRDefault="00C92EB7" w:rsidP="00A40DEB">
            <w:pPr>
              <w:rPr>
                <w:rFonts w:asciiTheme="majorHAnsi" w:hAnsiTheme="majorHAnsi" w:cstheme="majorHAnsi"/>
                <w:vertAlign w:val="superscript"/>
              </w:rPr>
            </w:pPr>
            <w:r>
              <w:rPr>
                <w:rFonts w:asciiTheme="majorHAnsi" w:hAnsiTheme="majorHAnsi" w:cstheme="majorHAnsi"/>
              </w:rPr>
              <w:t>P</w:t>
            </w:r>
            <w:r w:rsidRPr="0068104D">
              <w:rPr>
                <w:rFonts w:asciiTheme="majorHAnsi" w:hAnsiTheme="majorHAnsi" w:cstheme="majorHAnsi"/>
              </w:rPr>
              <w:t>rovides food benefits to low-income families to supplement their grocery budget so that they can afford the nutritious foods essential to health and well-being</w:t>
            </w:r>
            <w:r>
              <w:rPr>
                <w:rFonts w:asciiTheme="majorHAnsi" w:hAnsiTheme="majorHAnsi" w:cstheme="majorHAnsi"/>
              </w:rPr>
              <w:t>.</w:t>
            </w:r>
            <w:r w:rsidR="00403120">
              <w:rPr>
                <w:rFonts w:asciiTheme="majorHAnsi" w:hAnsiTheme="majorHAnsi" w:cstheme="majorHAnsi"/>
                <w:vertAlign w:val="superscript"/>
              </w:rPr>
              <w:t>56</w:t>
            </w:r>
          </w:p>
        </w:tc>
        <w:tc>
          <w:tcPr>
            <w:tcW w:w="3690" w:type="dxa"/>
            <w:shd w:val="clear" w:color="auto" w:fill="auto"/>
            <w:hideMark/>
          </w:tcPr>
          <w:p w14:paraId="38B9E827" w14:textId="712A34E6" w:rsidR="00C92EB7" w:rsidRPr="0068104D" w:rsidRDefault="00C92EB7" w:rsidP="00A40DEB">
            <w:pPr>
              <w:rPr>
                <w:rFonts w:asciiTheme="majorHAnsi" w:hAnsiTheme="majorHAnsi" w:cstheme="majorHAnsi"/>
              </w:rPr>
            </w:pPr>
            <w:r>
              <w:rPr>
                <w:rFonts w:asciiTheme="majorHAnsi" w:hAnsiTheme="majorHAnsi" w:cstheme="majorHAnsi"/>
              </w:rPr>
              <w:t>B</w:t>
            </w:r>
            <w:r w:rsidRPr="0068104D">
              <w:rPr>
                <w:rFonts w:asciiTheme="majorHAnsi" w:hAnsiTheme="majorHAnsi" w:cstheme="majorHAnsi"/>
              </w:rPr>
              <w:t>enefit levels and income limits vary based on several factors, including household size, income, and age.  Since 2023, people experiencing homelessness are exempt from the SNAP work-reporting requirement. This exemption was included in the Fiscal Responsibility Act of 2023, which was signed into law on June 3, 2023.</w:t>
            </w:r>
            <w:r w:rsidR="00403120">
              <w:rPr>
                <w:rFonts w:asciiTheme="majorHAnsi" w:hAnsiTheme="majorHAnsi" w:cstheme="majorHAnsi"/>
                <w:vertAlign w:val="superscript"/>
              </w:rPr>
              <w:t>56</w:t>
            </w:r>
          </w:p>
        </w:tc>
        <w:tc>
          <w:tcPr>
            <w:tcW w:w="2340" w:type="dxa"/>
          </w:tcPr>
          <w:p w14:paraId="4F0BE195" w14:textId="77777777" w:rsidR="00C92EB7" w:rsidRDefault="00C92EB7" w:rsidP="00A40DEB">
            <w:pPr>
              <w:rPr>
                <w:rFonts w:asciiTheme="majorHAnsi" w:hAnsiTheme="majorHAnsi" w:cstheme="majorHAnsi"/>
              </w:rPr>
            </w:pPr>
            <w:r>
              <w:rPr>
                <w:rFonts w:asciiTheme="majorHAnsi" w:hAnsiTheme="majorHAnsi" w:cstheme="majorHAnsi"/>
              </w:rPr>
              <w:t>Nutritional Support</w:t>
            </w:r>
          </w:p>
          <w:p w14:paraId="15D9F191" w14:textId="77777777" w:rsidR="00C92EB7" w:rsidRDefault="00C92EB7" w:rsidP="00A40DEB">
            <w:pPr>
              <w:rPr>
                <w:rFonts w:asciiTheme="majorHAnsi" w:hAnsiTheme="majorHAnsi" w:cstheme="majorHAnsi"/>
              </w:rPr>
            </w:pPr>
          </w:p>
        </w:tc>
      </w:tr>
      <w:tr w:rsidR="00C92EB7" w:rsidRPr="0068104D" w14:paraId="21E070FA" w14:textId="77777777" w:rsidTr="00A40DEB">
        <w:trPr>
          <w:trHeight w:val="2160"/>
        </w:trPr>
        <w:tc>
          <w:tcPr>
            <w:tcW w:w="1683" w:type="dxa"/>
            <w:shd w:val="clear" w:color="auto" w:fill="auto"/>
            <w:hideMark/>
          </w:tcPr>
          <w:p w14:paraId="6FA387F8" w14:textId="66F897EB" w:rsidR="00C92EB7" w:rsidRPr="007A1B3E" w:rsidRDefault="00C92EB7" w:rsidP="00A40DEB">
            <w:pPr>
              <w:rPr>
                <w:rFonts w:asciiTheme="majorHAnsi" w:hAnsiTheme="majorHAnsi" w:cstheme="majorHAnsi"/>
                <w:vertAlign w:val="superscript"/>
              </w:rPr>
            </w:pPr>
            <w:r w:rsidRPr="0068104D">
              <w:rPr>
                <w:rFonts w:asciiTheme="majorHAnsi" w:hAnsiTheme="majorHAnsi" w:cstheme="majorHAnsi"/>
              </w:rPr>
              <w:t>Special Supplemental Nutrition Program for Women, Infants, and Children (WIC)</w:t>
            </w:r>
            <w:r w:rsidR="00387D48">
              <w:rPr>
                <w:rFonts w:asciiTheme="majorHAnsi" w:hAnsiTheme="majorHAnsi" w:cstheme="majorHAnsi"/>
                <w:vertAlign w:val="superscript"/>
              </w:rPr>
              <w:t>17</w:t>
            </w:r>
          </w:p>
        </w:tc>
        <w:tc>
          <w:tcPr>
            <w:tcW w:w="2542" w:type="dxa"/>
            <w:shd w:val="clear" w:color="auto" w:fill="auto"/>
            <w:hideMark/>
          </w:tcPr>
          <w:p w14:paraId="6FA42449" w14:textId="44D1C9A2" w:rsidR="00C92EB7" w:rsidRPr="00241E30" w:rsidRDefault="00C92EB7" w:rsidP="00A40DEB">
            <w:pPr>
              <w:rPr>
                <w:rFonts w:asciiTheme="majorHAnsi" w:hAnsiTheme="majorHAnsi" w:cstheme="majorHAnsi"/>
                <w:vertAlign w:val="superscript"/>
              </w:rPr>
            </w:pPr>
            <w:r>
              <w:rPr>
                <w:rFonts w:asciiTheme="majorHAnsi" w:hAnsiTheme="majorHAnsi" w:cstheme="majorHAnsi"/>
              </w:rPr>
              <w:t>V</w:t>
            </w:r>
            <w:r w:rsidRPr="0068104D">
              <w:rPr>
                <w:rFonts w:asciiTheme="majorHAnsi" w:hAnsiTheme="majorHAnsi" w:cstheme="majorHAnsi"/>
              </w:rPr>
              <w:t xml:space="preserve">aries, but focus </w:t>
            </w:r>
            <w:r>
              <w:rPr>
                <w:rFonts w:asciiTheme="majorHAnsi" w:hAnsiTheme="majorHAnsi" w:cstheme="majorHAnsi"/>
              </w:rPr>
              <w:t xml:space="preserve">is </w:t>
            </w:r>
            <w:r w:rsidRPr="0068104D">
              <w:rPr>
                <w:rFonts w:asciiTheme="majorHAnsi" w:hAnsiTheme="majorHAnsi" w:cstheme="majorHAnsi"/>
              </w:rPr>
              <w:t>on low-income pregnant, breastfeeding, and non-breastfeeding postpartum women, and to infants and children up to age 5 who are found to be at nutritional risk.</w:t>
            </w:r>
            <w:r w:rsidR="00403120">
              <w:rPr>
                <w:rFonts w:asciiTheme="majorHAnsi" w:hAnsiTheme="majorHAnsi" w:cstheme="majorHAnsi"/>
                <w:vertAlign w:val="superscript"/>
              </w:rPr>
              <w:t>57</w:t>
            </w:r>
          </w:p>
        </w:tc>
        <w:tc>
          <w:tcPr>
            <w:tcW w:w="2790" w:type="dxa"/>
            <w:shd w:val="clear" w:color="auto" w:fill="auto"/>
            <w:hideMark/>
          </w:tcPr>
          <w:p w14:paraId="0710F3A4" w14:textId="0F402D2E" w:rsidR="00C92EB7" w:rsidRPr="00241E30" w:rsidRDefault="00C92EB7" w:rsidP="00A40DEB">
            <w:pPr>
              <w:rPr>
                <w:rFonts w:asciiTheme="majorHAnsi" w:hAnsiTheme="majorHAnsi" w:cstheme="majorHAnsi"/>
                <w:vertAlign w:val="superscript"/>
              </w:rPr>
            </w:pPr>
            <w:r>
              <w:rPr>
                <w:rFonts w:asciiTheme="majorHAnsi" w:hAnsiTheme="majorHAnsi" w:cstheme="majorHAnsi"/>
              </w:rPr>
              <w:t>P</w:t>
            </w:r>
            <w:r w:rsidRPr="0068104D">
              <w:rPr>
                <w:rFonts w:asciiTheme="majorHAnsi" w:hAnsiTheme="majorHAnsi" w:cstheme="majorHAnsi"/>
              </w:rPr>
              <w:t>rovides federal grants to states for supplemental foods, health care referrals, and nutrition education</w:t>
            </w:r>
            <w:r>
              <w:rPr>
                <w:rFonts w:asciiTheme="majorHAnsi" w:hAnsiTheme="majorHAnsi" w:cstheme="majorHAnsi"/>
              </w:rPr>
              <w:t>.</w:t>
            </w:r>
            <w:r w:rsidR="00403120">
              <w:rPr>
                <w:rFonts w:asciiTheme="majorHAnsi" w:hAnsiTheme="majorHAnsi" w:cstheme="majorHAnsi"/>
                <w:vertAlign w:val="superscript"/>
              </w:rPr>
              <w:t>57</w:t>
            </w:r>
          </w:p>
        </w:tc>
        <w:tc>
          <w:tcPr>
            <w:tcW w:w="3690" w:type="dxa"/>
            <w:shd w:val="clear" w:color="auto" w:fill="auto"/>
            <w:hideMark/>
          </w:tcPr>
          <w:p w14:paraId="305F9C71" w14:textId="0DD4A573"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WIC participants give birth to healthier babies with higher birth weights and are less likely to have premature births or low birth weight. WIC also reduces infant deaths.</w:t>
            </w:r>
            <w:r w:rsidR="00403120">
              <w:rPr>
                <w:rFonts w:asciiTheme="majorHAnsi" w:hAnsiTheme="majorHAnsi" w:cstheme="majorHAnsi"/>
                <w:vertAlign w:val="superscript"/>
              </w:rPr>
              <w:t>57</w:t>
            </w:r>
          </w:p>
        </w:tc>
        <w:tc>
          <w:tcPr>
            <w:tcW w:w="2340" w:type="dxa"/>
          </w:tcPr>
          <w:p w14:paraId="5F0167ED" w14:textId="77777777" w:rsidR="00C92EB7" w:rsidRDefault="00C92EB7" w:rsidP="00A40DEB">
            <w:pPr>
              <w:rPr>
                <w:rFonts w:asciiTheme="majorHAnsi" w:hAnsiTheme="majorHAnsi" w:cstheme="majorHAnsi"/>
              </w:rPr>
            </w:pPr>
            <w:r>
              <w:rPr>
                <w:rFonts w:asciiTheme="majorHAnsi" w:hAnsiTheme="majorHAnsi" w:cstheme="majorHAnsi"/>
              </w:rPr>
              <w:t>Nutritional Support</w:t>
            </w:r>
          </w:p>
          <w:p w14:paraId="53FCD6DF" w14:textId="77777777" w:rsidR="00C92EB7" w:rsidRDefault="00C92EB7" w:rsidP="00A40DEB">
            <w:pPr>
              <w:rPr>
                <w:rFonts w:asciiTheme="majorHAnsi" w:hAnsiTheme="majorHAnsi" w:cstheme="majorHAnsi"/>
              </w:rPr>
            </w:pPr>
            <w:r>
              <w:rPr>
                <w:rFonts w:asciiTheme="majorHAnsi" w:hAnsiTheme="majorHAnsi" w:cstheme="majorHAnsi"/>
              </w:rPr>
              <w:t>Supportive Services</w:t>
            </w:r>
          </w:p>
          <w:p w14:paraId="25CC18CF" w14:textId="77777777" w:rsidR="00C92EB7" w:rsidRPr="0068104D" w:rsidRDefault="00C92EB7" w:rsidP="00A40DEB">
            <w:pPr>
              <w:rPr>
                <w:rFonts w:asciiTheme="majorHAnsi" w:hAnsiTheme="majorHAnsi" w:cstheme="majorHAnsi"/>
              </w:rPr>
            </w:pPr>
          </w:p>
        </w:tc>
      </w:tr>
      <w:tr w:rsidR="00C92EB7" w:rsidRPr="0068104D" w14:paraId="1BDD824B" w14:textId="77777777" w:rsidTr="00A40DEB">
        <w:trPr>
          <w:trHeight w:val="2640"/>
        </w:trPr>
        <w:tc>
          <w:tcPr>
            <w:tcW w:w="1683" w:type="dxa"/>
            <w:shd w:val="clear" w:color="auto" w:fill="auto"/>
            <w:hideMark/>
          </w:tcPr>
          <w:p w14:paraId="3A5AEE01" w14:textId="51EC9341" w:rsidR="00C92EB7" w:rsidRPr="007A1B3E" w:rsidRDefault="00C92EB7" w:rsidP="00A40DEB">
            <w:pPr>
              <w:rPr>
                <w:rFonts w:asciiTheme="majorHAnsi" w:hAnsiTheme="majorHAnsi" w:cstheme="majorHAnsi"/>
                <w:vertAlign w:val="superscript"/>
              </w:rPr>
            </w:pPr>
            <w:r w:rsidRPr="0068104D">
              <w:rPr>
                <w:rFonts w:asciiTheme="majorHAnsi" w:hAnsiTheme="majorHAnsi" w:cstheme="majorHAnsi"/>
              </w:rPr>
              <w:t>Free Child and Adult Care Program (CACFP)</w:t>
            </w:r>
            <w:r w:rsidR="00387D48">
              <w:rPr>
                <w:rFonts w:asciiTheme="majorHAnsi" w:hAnsiTheme="majorHAnsi" w:cstheme="majorHAnsi"/>
                <w:vertAlign w:val="superscript"/>
              </w:rPr>
              <w:t>17</w:t>
            </w:r>
          </w:p>
        </w:tc>
        <w:tc>
          <w:tcPr>
            <w:tcW w:w="2542" w:type="dxa"/>
            <w:shd w:val="clear" w:color="auto" w:fill="auto"/>
            <w:hideMark/>
          </w:tcPr>
          <w:p w14:paraId="4D696545" w14:textId="5883B2A8" w:rsidR="00C92EB7" w:rsidRPr="00241E30" w:rsidRDefault="00C92EB7" w:rsidP="00A40DEB">
            <w:pPr>
              <w:rPr>
                <w:rFonts w:asciiTheme="majorHAnsi" w:hAnsiTheme="majorHAnsi" w:cstheme="majorHAnsi"/>
                <w:vertAlign w:val="superscript"/>
              </w:rPr>
            </w:pPr>
            <w:r>
              <w:rPr>
                <w:rFonts w:asciiTheme="majorHAnsi" w:hAnsiTheme="majorHAnsi" w:cstheme="majorHAnsi"/>
              </w:rPr>
              <w:t>A</w:t>
            </w:r>
            <w:r w:rsidRPr="0068104D">
              <w:rPr>
                <w:rFonts w:asciiTheme="majorHAnsi" w:hAnsiTheme="majorHAnsi" w:cstheme="majorHAnsi"/>
              </w:rPr>
              <w:t>ny young person 18 and under who is receiving temporary housing and meal services from an approved emergency shelter or is participating in an approved at-risk afterschool care program</w:t>
            </w:r>
            <w:r>
              <w:rPr>
                <w:rFonts w:asciiTheme="majorHAnsi" w:hAnsiTheme="majorHAnsi" w:cstheme="majorHAnsi"/>
              </w:rPr>
              <w:t>.</w:t>
            </w:r>
            <w:r w:rsidR="00403120">
              <w:rPr>
                <w:rFonts w:asciiTheme="majorHAnsi" w:hAnsiTheme="majorHAnsi" w:cstheme="majorHAnsi"/>
                <w:vertAlign w:val="superscript"/>
              </w:rPr>
              <w:t>58</w:t>
            </w:r>
          </w:p>
        </w:tc>
        <w:tc>
          <w:tcPr>
            <w:tcW w:w="2790" w:type="dxa"/>
            <w:shd w:val="clear" w:color="auto" w:fill="auto"/>
            <w:hideMark/>
          </w:tcPr>
          <w:p w14:paraId="5F5ED7CA" w14:textId="44D79082" w:rsidR="00C92EB7" w:rsidRPr="00241E30" w:rsidRDefault="00C92EB7" w:rsidP="00A40DEB">
            <w:pPr>
              <w:rPr>
                <w:rFonts w:asciiTheme="majorHAnsi" w:hAnsiTheme="majorHAnsi" w:cstheme="majorHAnsi"/>
                <w:vertAlign w:val="superscript"/>
              </w:rPr>
            </w:pPr>
            <w:r>
              <w:rPr>
                <w:rFonts w:asciiTheme="majorHAnsi" w:hAnsiTheme="majorHAnsi" w:cstheme="majorHAnsi"/>
              </w:rPr>
              <w:t>P</w:t>
            </w:r>
            <w:r w:rsidRPr="0068104D">
              <w:rPr>
                <w:rFonts w:asciiTheme="majorHAnsi" w:hAnsiTheme="majorHAnsi" w:cstheme="majorHAnsi"/>
              </w:rPr>
              <w:t>rovides programs with reimbursements for meals</w:t>
            </w:r>
            <w:r w:rsidR="00403120">
              <w:rPr>
                <w:rFonts w:asciiTheme="majorHAnsi" w:hAnsiTheme="majorHAnsi" w:cstheme="majorHAnsi"/>
                <w:vertAlign w:val="superscript"/>
              </w:rPr>
              <w:t>58</w:t>
            </w:r>
          </w:p>
        </w:tc>
        <w:tc>
          <w:tcPr>
            <w:tcW w:w="3690" w:type="dxa"/>
            <w:shd w:val="clear" w:color="auto" w:fill="auto"/>
            <w:hideMark/>
          </w:tcPr>
          <w:p w14:paraId="54894469" w14:textId="45EF9952"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 xml:space="preserve">Providers generally view the CACFP positively, and many say it's easy to enroll in and </w:t>
            </w:r>
            <w:r>
              <w:rPr>
                <w:rFonts w:asciiTheme="majorHAnsi" w:hAnsiTheme="majorHAnsi" w:cstheme="majorHAnsi"/>
              </w:rPr>
              <w:t xml:space="preserve">has been found to </w:t>
            </w:r>
            <w:r w:rsidRPr="0068104D">
              <w:rPr>
                <w:rFonts w:asciiTheme="majorHAnsi" w:hAnsiTheme="majorHAnsi" w:cstheme="majorHAnsi"/>
              </w:rPr>
              <w:t>help provide food to more children.</w:t>
            </w:r>
            <w:r w:rsidR="00403120">
              <w:rPr>
                <w:rFonts w:asciiTheme="majorHAnsi" w:hAnsiTheme="majorHAnsi" w:cstheme="majorHAnsi"/>
                <w:vertAlign w:val="superscript"/>
              </w:rPr>
              <w:t>58</w:t>
            </w:r>
          </w:p>
        </w:tc>
        <w:tc>
          <w:tcPr>
            <w:tcW w:w="2340" w:type="dxa"/>
          </w:tcPr>
          <w:p w14:paraId="31125CCB" w14:textId="77777777" w:rsidR="00C92EB7" w:rsidRDefault="00C92EB7" w:rsidP="00A40DEB">
            <w:pPr>
              <w:rPr>
                <w:rFonts w:asciiTheme="majorHAnsi" w:hAnsiTheme="majorHAnsi" w:cstheme="majorHAnsi"/>
              </w:rPr>
            </w:pPr>
            <w:r>
              <w:rPr>
                <w:rFonts w:asciiTheme="majorHAnsi" w:hAnsiTheme="majorHAnsi" w:cstheme="majorHAnsi"/>
              </w:rPr>
              <w:t>Nutritional Support</w:t>
            </w:r>
          </w:p>
          <w:p w14:paraId="287E99C2" w14:textId="77777777" w:rsidR="00C92EB7" w:rsidRPr="0068104D" w:rsidRDefault="00C92EB7" w:rsidP="00A40DEB">
            <w:pPr>
              <w:rPr>
                <w:rFonts w:asciiTheme="majorHAnsi" w:hAnsiTheme="majorHAnsi" w:cstheme="majorHAnsi"/>
              </w:rPr>
            </w:pPr>
          </w:p>
        </w:tc>
      </w:tr>
      <w:tr w:rsidR="00C92EB7" w:rsidRPr="0068104D" w14:paraId="1CF47565" w14:textId="77777777" w:rsidTr="00A40DEB">
        <w:trPr>
          <w:trHeight w:val="960"/>
        </w:trPr>
        <w:tc>
          <w:tcPr>
            <w:tcW w:w="1683" w:type="dxa"/>
            <w:shd w:val="clear" w:color="auto" w:fill="auto"/>
            <w:hideMark/>
          </w:tcPr>
          <w:p w14:paraId="1BDC306B" w14:textId="28C397CC" w:rsidR="00C92EB7" w:rsidRDefault="00C92EB7" w:rsidP="00A40DEB">
            <w:pPr>
              <w:rPr>
                <w:rFonts w:asciiTheme="majorHAnsi" w:hAnsiTheme="majorHAnsi" w:cstheme="majorHAnsi"/>
              </w:rPr>
            </w:pPr>
            <w:r w:rsidRPr="0068104D">
              <w:rPr>
                <w:rFonts w:asciiTheme="majorHAnsi" w:hAnsiTheme="majorHAnsi" w:cstheme="majorHAnsi"/>
              </w:rPr>
              <w:lastRenderedPageBreak/>
              <w:t>Summer Electronic Benefit Transfer (EBT) program</w:t>
            </w:r>
            <w:r w:rsidR="00387D48">
              <w:rPr>
                <w:rFonts w:asciiTheme="majorHAnsi" w:hAnsiTheme="majorHAnsi" w:cstheme="majorHAnsi"/>
                <w:vertAlign w:val="superscript"/>
              </w:rPr>
              <w:t>17</w:t>
            </w:r>
          </w:p>
          <w:p w14:paraId="693A430C" w14:textId="77777777" w:rsidR="00C92EB7" w:rsidRDefault="00C92EB7" w:rsidP="00A40DEB">
            <w:pPr>
              <w:rPr>
                <w:rFonts w:asciiTheme="majorHAnsi" w:hAnsiTheme="majorHAnsi" w:cstheme="majorHAnsi"/>
              </w:rPr>
            </w:pPr>
          </w:p>
          <w:p w14:paraId="7B2B1CD1" w14:textId="77777777" w:rsidR="00C92EB7" w:rsidRDefault="00C92EB7" w:rsidP="00A40DEB">
            <w:pPr>
              <w:rPr>
                <w:rFonts w:asciiTheme="majorHAnsi" w:hAnsiTheme="majorHAnsi" w:cstheme="majorHAnsi"/>
              </w:rPr>
            </w:pPr>
          </w:p>
          <w:p w14:paraId="3FFD68A0" w14:textId="77777777" w:rsidR="00C92EB7" w:rsidRDefault="00C92EB7" w:rsidP="00A40DEB">
            <w:pPr>
              <w:rPr>
                <w:rFonts w:asciiTheme="majorHAnsi" w:hAnsiTheme="majorHAnsi" w:cstheme="majorHAnsi"/>
              </w:rPr>
            </w:pPr>
          </w:p>
          <w:p w14:paraId="77A38EC6" w14:textId="77777777" w:rsidR="00C92EB7" w:rsidRDefault="00C92EB7" w:rsidP="00A40DEB">
            <w:pPr>
              <w:rPr>
                <w:rFonts w:asciiTheme="majorHAnsi" w:hAnsiTheme="majorHAnsi" w:cstheme="majorHAnsi"/>
              </w:rPr>
            </w:pPr>
          </w:p>
          <w:p w14:paraId="58A93B2A" w14:textId="77777777" w:rsidR="00C92EB7" w:rsidRDefault="00C92EB7" w:rsidP="00A40DEB">
            <w:pPr>
              <w:rPr>
                <w:rFonts w:asciiTheme="majorHAnsi" w:hAnsiTheme="majorHAnsi" w:cstheme="majorHAnsi"/>
              </w:rPr>
            </w:pPr>
          </w:p>
          <w:p w14:paraId="6F4F9033" w14:textId="77777777" w:rsidR="00C92EB7" w:rsidRPr="0068104D" w:rsidRDefault="00C92EB7" w:rsidP="00A40DEB">
            <w:pPr>
              <w:rPr>
                <w:rFonts w:asciiTheme="majorHAnsi" w:hAnsiTheme="majorHAnsi" w:cstheme="majorHAnsi"/>
              </w:rPr>
            </w:pPr>
          </w:p>
        </w:tc>
        <w:tc>
          <w:tcPr>
            <w:tcW w:w="2542" w:type="dxa"/>
            <w:shd w:val="clear" w:color="auto" w:fill="auto"/>
            <w:hideMark/>
          </w:tcPr>
          <w:p w14:paraId="5A5BDB7A" w14:textId="18FB880A" w:rsidR="00C92EB7" w:rsidRPr="00241E30" w:rsidRDefault="00C92EB7" w:rsidP="00A40DEB">
            <w:pPr>
              <w:rPr>
                <w:rFonts w:asciiTheme="majorHAnsi" w:hAnsiTheme="majorHAnsi" w:cstheme="majorHAnsi"/>
                <w:vertAlign w:val="superscript"/>
              </w:rPr>
            </w:pPr>
            <w:r>
              <w:rPr>
                <w:rFonts w:asciiTheme="majorHAnsi" w:hAnsiTheme="majorHAnsi" w:cstheme="majorHAnsi"/>
              </w:rPr>
              <w:t>V</w:t>
            </w:r>
            <w:r w:rsidRPr="0068104D">
              <w:rPr>
                <w:rFonts w:asciiTheme="majorHAnsi" w:hAnsiTheme="majorHAnsi" w:cstheme="majorHAnsi"/>
              </w:rPr>
              <w:t xml:space="preserve">aries, </w:t>
            </w:r>
            <w:r>
              <w:rPr>
                <w:rFonts w:asciiTheme="majorHAnsi" w:hAnsiTheme="majorHAnsi" w:cstheme="majorHAnsi"/>
              </w:rPr>
              <w:t xml:space="preserve">but </w:t>
            </w:r>
            <w:r w:rsidRPr="0068104D">
              <w:rPr>
                <w:rFonts w:asciiTheme="majorHAnsi" w:hAnsiTheme="majorHAnsi" w:cstheme="majorHAnsi"/>
              </w:rPr>
              <w:t>target</w:t>
            </w:r>
            <w:r>
              <w:rPr>
                <w:rFonts w:asciiTheme="majorHAnsi" w:hAnsiTheme="majorHAnsi" w:cstheme="majorHAnsi"/>
              </w:rPr>
              <w:t>s</w:t>
            </w:r>
            <w:r w:rsidRPr="0068104D">
              <w:rPr>
                <w:rFonts w:asciiTheme="majorHAnsi" w:hAnsiTheme="majorHAnsi" w:cstheme="majorHAnsi"/>
              </w:rPr>
              <w:t xml:space="preserve"> low-income families with school-aged children</w:t>
            </w:r>
            <w:r>
              <w:rPr>
                <w:rFonts w:asciiTheme="majorHAnsi" w:hAnsiTheme="majorHAnsi" w:cstheme="majorHAnsi"/>
              </w:rPr>
              <w:t>.</w:t>
            </w:r>
            <w:r w:rsidR="00403120">
              <w:rPr>
                <w:rFonts w:asciiTheme="majorHAnsi" w:hAnsiTheme="majorHAnsi" w:cstheme="majorHAnsi"/>
                <w:vertAlign w:val="superscript"/>
              </w:rPr>
              <w:t>59</w:t>
            </w:r>
          </w:p>
        </w:tc>
        <w:tc>
          <w:tcPr>
            <w:tcW w:w="2790" w:type="dxa"/>
            <w:shd w:val="clear" w:color="auto" w:fill="auto"/>
            <w:hideMark/>
          </w:tcPr>
          <w:p w14:paraId="10FFC757" w14:textId="6D6A5A39"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Families with eligible school-aged children can get $120 per child to buy groceries during the summer.</w:t>
            </w:r>
            <w:r w:rsidR="00403120">
              <w:rPr>
                <w:rFonts w:asciiTheme="majorHAnsi" w:hAnsiTheme="majorHAnsi" w:cstheme="majorHAnsi"/>
                <w:vertAlign w:val="superscript"/>
              </w:rPr>
              <w:t>59</w:t>
            </w:r>
          </w:p>
        </w:tc>
        <w:tc>
          <w:tcPr>
            <w:tcW w:w="3690" w:type="dxa"/>
            <w:shd w:val="clear" w:color="auto" w:fill="auto"/>
            <w:hideMark/>
          </w:tcPr>
          <w:p w14:paraId="3F8F1D49" w14:textId="3E653BFA" w:rsidR="00C92EB7" w:rsidRPr="00241E30" w:rsidRDefault="00C92EB7" w:rsidP="00A40DEB">
            <w:pPr>
              <w:rPr>
                <w:rFonts w:asciiTheme="majorHAnsi" w:hAnsiTheme="majorHAnsi" w:cstheme="majorHAnsi"/>
                <w:vertAlign w:val="superscript"/>
              </w:rPr>
            </w:pPr>
            <w:r>
              <w:rPr>
                <w:rFonts w:asciiTheme="majorHAnsi" w:hAnsiTheme="majorHAnsi" w:cstheme="majorHAnsi"/>
              </w:rPr>
              <w:t>N</w:t>
            </w:r>
            <w:r w:rsidRPr="0068104D">
              <w:rPr>
                <w:rFonts w:asciiTheme="majorHAnsi" w:hAnsiTheme="majorHAnsi" w:cstheme="majorHAnsi"/>
              </w:rPr>
              <w:t>ew program for FY 2024</w:t>
            </w:r>
            <w:r>
              <w:rPr>
                <w:rFonts w:asciiTheme="majorHAnsi" w:hAnsiTheme="majorHAnsi" w:cstheme="majorHAnsi"/>
              </w:rPr>
              <w:t>, created to cover a gap in school children meeting nutritional needs outside of school year.  As a new program, there is limited longitudinal data, however early data</w:t>
            </w:r>
            <w:r w:rsidRPr="0068104D">
              <w:rPr>
                <w:rFonts w:asciiTheme="majorHAnsi" w:hAnsiTheme="majorHAnsi" w:cstheme="majorHAnsi"/>
              </w:rPr>
              <w:t xml:space="preserve"> seem</w:t>
            </w:r>
            <w:r>
              <w:rPr>
                <w:rFonts w:asciiTheme="majorHAnsi" w:hAnsiTheme="majorHAnsi" w:cstheme="majorHAnsi"/>
              </w:rPr>
              <w:t>s</w:t>
            </w:r>
            <w:r w:rsidRPr="0068104D">
              <w:rPr>
                <w:rFonts w:asciiTheme="majorHAnsi" w:hAnsiTheme="majorHAnsi" w:cstheme="majorHAnsi"/>
              </w:rPr>
              <w:t xml:space="preserve"> promising</w:t>
            </w:r>
            <w:r>
              <w:rPr>
                <w:rFonts w:asciiTheme="majorHAnsi" w:hAnsiTheme="majorHAnsi" w:cstheme="majorHAnsi"/>
              </w:rPr>
              <w:t>.</w:t>
            </w:r>
            <w:r w:rsidR="00403120">
              <w:rPr>
                <w:rFonts w:asciiTheme="majorHAnsi" w:hAnsiTheme="majorHAnsi" w:cstheme="majorHAnsi"/>
                <w:vertAlign w:val="superscript"/>
              </w:rPr>
              <w:t>59</w:t>
            </w:r>
          </w:p>
        </w:tc>
        <w:tc>
          <w:tcPr>
            <w:tcW w:w="2340" w:type="dxa"/>
          </w:tcPr>
          <w:p w14:paraId="70635AB3" w14:textId="77777777" w:rsidR="00C92EB7" w:rsidRDefault="00C92EB7" w:rsidP="00A40DEB">
            <w:pPr>
              <w:rPr>
                <w:rFonts w:asciiTheme="majorHAnsi" w:hAnsiTheme="majorHAnsi" w:cstheme="majorHAnsi"/>
              </w:rPr>
            </w:pPr>
            <w:r>
              <w:rPr>
                <w:rFonts w:asciiTheme="majorHAnsi" w:hAnsiTheme="majorHAnsi" w:cstheme="majorHAnsi"/>
              </w:rPr>
              <w:t>Nutritional Support</w:t>
            </w:r>
          </w:p>
          <w:p w14:paraId="2E9B756C" w14:textId="77777777" w:rsidR="00C92EB7" w:rsidRDefault="00C92EB7" w:rsidP="00A40DEB">
            <w:pPr>
              <w:rPr>
                <w:rFonts w:asciiTheme="majorHAnsi" w:hAnsiTheme="majorHAnsi" w:cstheme="majorHAnsi"/>
              </w:rPr>
            </w:pPr>
          </w:p>
        </w:tc>
      </w:tr>
      <w:tr w:rsidR="00C92EB7" w:rsidRPr="0068104D" w14:paraId="5834EF30" w14:textId="77777777" w:rsidTr="00A40DEB">
        <w:trPr>
          <w:trHeight w:val="1240"/>
        </w:trPr>
        <w:tc>
          <w:tcPr>
            <w:tcW w:w="1683" w:type="dxa"/>
            <w:shd w:val="clear" w:color="auto" w:fill="auto"/>
            <w:hideMark/>
          </w:tcPr>
          <w:p w14:paraId="69487044" w14:textId="1883F90A" w:rsidR="00C92EB7" w:rsidRPr="007A1B3E" w:rsidRDefault="00C92EB7" w:rsidP="00A40DEB">
            <w:pPr>
              <w:rPr>
                <w:rFonts w:asciiTheme="majorHAnsi" w:hAnsiTheme="majorHAnsi" w:cstheme="majorHAnsi"/>
                <w:vertAlign w:val="superscript"/>
              </w:rPr>
            </w:pPr>
            <w:r w:rsidRPr="0068104D">
              <w:rPr>
                <w:rFonts w:asciiTheme="majorHAnsi" w:hAnsiTheme="majorHAnsi" w:cstheme="majorHAnsi"/>
              </w:rPr>
              <w:t>National School Lunch Program (NSLP)</w:t>
            </w:r>
            <w:r w:rsidR="00387D48">
              <w:rPr>
                <w:rFonts w:asciiTheme="majorHAnsi" w:hAnsiTheme="majorHAnsi" w:cstheme="majorHAnsi"/>
                <w:vertAlign w:val="superscript"/>
              </w:rPr>
              <w:t>17</w:t>
            </w:r>
          </w:p>
        </w:tc>
        <w:tc>
          <w:tcPr>
            <w:tcW w:w="2542" w:type="dxa"/>
            <w:shd w:val="clear" w:color="auto" w:fill="auto"/>
            <w:hideMark/>
          </w:tcPr>
          <w:p w14:paraId="1B07D2F9" w14:textId="33B663CD" w:rsidR="00C92EB7" w:rsidRPr="00241E30" w:rsidRDefault="00C92EB7" w:rsidP="00A40DEB">
            <w:pPr>
              <w:rPr>
                <w:rFonts w:asciiTheme="majorHAnsi" w:hAnsiTheme="majorHAnsi" w:cstheme="majorHAnsi"/>
                <w:vertAlign w:val="superscript"/>
              </w:rPr>
            </w:pPr>
            <w:r>
              <w:rPr>
                <w:rFonts w:asciiTheme="majorHAnsi" w:hAnsiTheme="majorHAnsi" w:cstheme="majorHAnsi"/>
              </w:rPr>
              <w:t>Varies, but focus on s</w:t>
            </w:r>
            <w:r w:rsidRPr="0068104D">
              <w:rPr>
                <w:rFonts w:asciiTheme="majorHAnsi" w:hAnsiTheme="majorHAnsi" w:cstheme="majorHAnsi"/>
              </w:rPr>
              <w:t>chool childrem</w:t>
            </w:r>
            <w:r>
              <w:rPr>
                <w:rFonts w:asciiTheme="majorHAnsi" w:hAnsiTheme="majorHAnsi" w:cstheme="majorHAnsi"/>
              </w:rPr>
              <w:t>.</w:t>
            </w:r>
            <w:r>
              <w:rPr>
                <w:rFonts w:asciiTheme="majorHAnsi" w:hAnsiTheme="majorHAnsi" w:cstheme="majorHAnsi"/>
                <w:vertAlign w:val="superscript"/>
              </w:rPr>
              <w:t>6</w:t>
            </w:r>
            <w:r w:rsidR="00403120">
              <w:rPr>
                <w:rFonts w:asciiTheme="majorHAnsi" w:hAnsiTheme="majorHAnsi" w:cstheme="majorHAnsi"/>
                <w:vertAlign w:val="superscript"/>
              </w:rPr>
              <w:t>0</w:t>
            </w:r>
          </w:p>
        </w:tc>
        <w:tc>
          <w:tcPr>
            <w:tcW w:w="2790" w:type="dxa"/>
            <w:shd w:val="clear" w:color="auto" w:fill="auto"/>
            <w:hideMark/>
          </w:tcPr>
          <w:p w14:paraId="16354E03" w14:textId="0CB05898" w:rsidR="00C92EB7" w:rsidRPr="00241E30" w:rsidRDefault="00C92EB7" w:rsidP="00A40DEB">
            <w:pPr>
              <w:rPr>
                <w:rFonts w:asciiTheme="majorHAnsi" w:hAnsiTheme="majorHAnsi" w:cstheme="majorHAnsi"/>
                <w:vertAlign w:val="superscript"/>
              </w:rPr>
            </w:pPr>
            <w:r>
              <w:rPr>
                <w:rFonts w:asciiTheme="majorHAnsi" w:hAnsiTheme="majorHAnsi" w:cstheme="majorHAnsi"/>
              </w:rPr>
              <w:t>P</w:t>
            </w:r>
            <w:r w:rsidRPr="0068104D">
              <w:rPr>
                <w:rFonts w:asciiTheme="majorHAnsi" w:hAnsiTheme="majorHAnsi" w:cstheme="majorHAnsi"/>
              </w:rPr>
              <w:t>rovides nutritionally balanced, low-cost or free lunches to children each school day.</w:t>
            </w:r>
            <w:r>
              <w:rPr>
                <w:rFonts w:asciiTheme="majorHAnsi" w:hAnsiTheme="majorHAnsi" w:cstheme="majorHAnsi"/>
                <w:vertAlign w:val="superscript"/>
              </w:rPr>
              <w:t>6</w:t>
            </w:r>
            <w:r w:rsidR="00403120">
              <w:rPr>
                <w:rFonts w:asciiTheme="majorHAnsi" w:hAnsiTheme="majorHAnsi" w:cstheme="majorHAnsi"/>
                <w:vertAlign w:val="superscript"/>
              </w:rPr>
              <w:t>0</w:t>
            </w:r>
          </w:p>
        </w:tc>
        <w:tc>
          <w:tcPr>
            <w:tcW w:w="3690" w:type="dxa"/>
            <w:shd w:val="clear" w:color="auto" w:fill="auto"/>
            <w:hideMark/>
          </w:tcPr>
          <w:p w14:paraId="15FE7B5F" w14:textId="0E0F0040"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28 million participants 2022-2023 daily</w:t>
            </w:r>
            <w:r>
              <w:rPr>
                <w:rFonts w:asciiTheme="majorHAnsi" w:hAnsiTheme="majorHAnsi" w:cstheme="majorHAnsi"/>
              </w:rPr>
              <w:t xml:space="preserve">.  Program has been </w:t>
            </w:r>
            <w:r w:rsidRPr="0068104D">
              <w:rPr>
                <w:rFonts w:asciiTheme="majorHAnsi" w:hAnsiTheme="majorHAnsi" w:cstheme="majorHAnsi"/>
              </w:rPr>
              <w:t xml:space="preserve">effective </w:t>
            </w:r>
            <w:r>
              <w:rPr>
                <w:rFonts w:asciiTheme="majorHAnsi" w:hAnsiTheme="majorHAnsi" w:cstheme="majorHAnsi"/>
              </w:rPr>
              <w:t xml:space="preserve">in decreasing </w:t>
            </w:r>
            <w:r w:rsidRPr="0068104D">
              <w:rPr>
                <w:rFonts w:asciiTheme="majorHAnsi" w:hAnsiTheme="majorHAnsi" w:cstheme="majorHAnsi"/>
              </w:rPr>
              <w:t>SDOH</w:t>
            </w:r>
            <w:r>
              <w:rPr>
                <w:rFonts w:asciiTheme="majorHAnsi" w:hAnsiTheme="majorHAnsi" w:cstheme="majorHAnsi"/>
              </w:rPr>
              <w:t xml:space="preserve">, that </w:t>
            </w:r>
            <w:proofErr w:type="gramStart"/>
            <w:r>
              <w:rPr>
                <w:rFonts w:asciiTheme="majorHAnsi" w:hAnsiTheme="majorHAnsi" w:cstheme="majorHAnsi"/>
              </w:rPr>
              <w:t>create</w:t>
            </w:r>
            <w:proofErr w:type="gramEnd"/>
            <w:r>
              <w:rPr>
                <w:rFonts w:asciiTheme="majorHAnsi" w:hAnsiTheme="majorHAnsi" w:cstheme="majorHAnsi"/>
              </w:rPr>
              <w:t xml:space="preserve"> disadvantages within learning envinroments</w:t>
            </w:r>
            <w:r w:rsidRPr="0068104D">
              <w:rPr>
                <w:rFonts w:asciiTheme="majorHAnsi" w:hAnsiTheme="majorHAnsi" w:cstheme="majorHAnsi"/>
              </w:rPr>
              <w:t>.</w:t>
            </w:r>
            <w:r>
              <w:rPr>
                <w:rFonts w:asciiTheme="majorHAnsi" w:hAnsiTheme="majorHAnsi" w:cstheme="majorHAnsi"/>
                <w:vertAlign w:val="superscript"/>
              </w:rPr>
              <w:t>6</w:t>
            </w:r>
            <w:r w:rsidR="00403120">
              <w:rPr>
                <w:rFonts w:asciiTheme="majorHAnsi" w:hAnsiTheme="majorHAnsi" w:cstheme="majorHAnsi"/>
                <w:vertAlign w:val="superscript"/>
              </w:rPr>
              <w:t>0</w:t>
            </w:r>
          </w:p>
        </w:tc>
        <w:tc>
          <w:tcPr>
            <w:tcW w:w="2340" w:type="dxa"/>
          </w:tcPr>
          <w:p w14:paraId="5ECF9A6A" w14:textId="77777777" w:rsidR="00C92EB7" w:rsidRDefault="00C92EB7" w:rsidP="00A40DEB">
            <w:pPr>
              <w:rPr>
                <w:rFonts w:asciiTheme="majorHAnsi" w:hAnsiTheme="majorHAnsi" w:cstheme="majorHAnsi"/>
              </w:rPr>
            </w:pPr>
            <w:r>
              <w:rPr>
                <w:rFonts w:asciiTheme="majorHAnsi" w:hAnsiTheme="majorHAnsi" w:cstheme="majorHAnsi"/>
              </w:rPr>
              <w:t>Nutritional Support</w:t>
            </w:r>
          </w:p>
          <w:p w14:paraId="5D63C978" w14:textId="77777777" w:rsidR="00C92EB7" w:rsidRPr="0068104D" w:rsidRDefault="00C92EB7" w:rsidP="00A40DEB">
            <w:pPr>
              <w:rPr>
                <w:rFonts w:asciiTheme="majorHAnsi" w:hAnsiTheme="majorHAnsi" w:cstheme="majorHAnsi"/>
              </w:rPr>
            </w:pPr>
          </w:p>
        </w:tc>
      </w:tr>
      <w:tr w:rsidR="00C92EB7" w:rsidRPr="0068104D" w14:paraId="4D02DDBB" w14:textId="77777777" w:rsidTr="00A40DEB">
        <w:trPr>
          <w:trHeight w:val="1592"/>
        </w:trPr>
        <w:tc>
          <w:tcPr>
            <w:tcW w:w="1683" w:type="dxa"/>
            <w:shd w:val="clear" w:color="auto" w:fill="auto"/>
            <w:hideMark/>
          </w:tcPr>
          <w:p w14:paraId="01C8E22D" w14:textId="69EC44B4" w:rsidR="00C92EB7" w:rsidRPr="0068104D" w:rsidRDefault="00C92EB7" w:rsidP="00A40DEB">
            <w:pPr>
              <w:rPr>
                <w:rFonts w:asciiTheme="majorHAnsi" w:hAnsiTheme="majorHAnsi" w:cstheme="majorHAnsi"/>
              </w:rPr>
            </w:pPr>
            <w:r w:rsidRPr="0068104D">
              <w:rPr>
                <w:rFonts w:asciiTheme="majorHAnsi" w:hAnsiTheme="majorHAnsi" w:cstheme="majorHAnsi"/>
              </w:rPr>
              <w:t>Summer Food Service Program (SFSP)</w:t>
            </w:r>
            <w:r w:rsidR="00387D48">
              <w:rPr>
                <w:rFonts w:asciiTheme="majorHAnsi" w:hAnsiTheme="majorHAnsi" w:cstheme="majorHAnsi"/>
                <w:vertAlign w:val="superscript"/>
              </w:rPr>
              <w:t>17</w:t>
            </w:r>
          </w:p>
        </w:tc>
        <w:tc>
          <w:tcPr>
            <w:tcW w:w="2542" w:type="dxa"/>
            <w:shd w:val="clear" w:color="auto" w:fill="auto"/>
            <w:hideMark/>
          </w:tcPr>
          <w:p w14:paraId="129994BE" w14:textId="2A718A94"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 xml:space="preserve">If a young person is </w:t>
            </w:r>
            <w:proofErr w:type="gramStart"/>
            <w:r w:rsidRPr="0068104D">
              <w:rPr>
                <w:rFonts w:asciiTheme="majorHAnsi" w:hAnsiTheme="majorHAnsi" w:cstheme="majorHAnsi"/>
              </w:rPr>
              <w:t>age</w:t>
            </w:r>
            <w:proofErr w:type="gramEnd"/>
            <w:r w:rsidRPr="0068104D">
              <w:rPr>
                <w:rFonts w:asciiTheme="majorHAnsi" w:hAnsiTheme="majorHAnsi" w:cstheme="majorHAnsi"/>
              </w:rPr>
              <w:t xml:space="preserve"> 18 and under, they are eligible to receive a summer meal or snack at a designated meal site, such as a library, a school, or community organization. Individuals older than age 18 who are determined by a state education agency or a local education agency to be mentally or physically disabled and who participate in a public or nonprofit </w:t>
            </w:r>
            <w:r w:rsidRPr="0068104D">
              <w:rPr>
                <w:rFonts w:asciiTheme="majorHAnsi" w:hAnsiTheme="majorHAnsi" w:cstheme="majorHAnsi"/>
              </w:rPr>
              <w:lastRenderedPageBreak/>
              <w:t>private school program established for the mentally or physically disabled also are eligible.</w:t>
            </w:r>
            <w:r>
              <w:rPr>
                <w:rFonts w:asciiTheme="majorHAnsi" w:hAnsiTheme="majorHAnsi" w:cstheme="majorHAnsi"/>
                <w:vertAlign w:val="superscript"/>
              </w:rPr>
              <w:t>6</w:t>
            </w:r>
            <w:r w:rsidR="00403120">
              <w:rPr>
                <w:rFonts w:asciiTheme="majorHAnsi" w:hAnsiTheme="majorHAnsi" w:cstheme="majorHAnsi"/>
                <w:vertAlign w:val="superscript"/>
              </w:rPr>
              <w:t>1</w:t>
            </w:r>
          </w:p>
        </w:tc>
        <w:tc>
          <w:tcPr>
            <w:tcW w:w="2790" w:type="dxa"/>
            <w:shd w:val="clear" w:color="auto" w:fill="auto"/>
            <w:hideMark/>
          </w:tcPr>
          <w:p w14:paraId="28EBFFF0" w14:textId="5C38A7EF" w:rsidR="00C92EB7" w:rsidRDefault="00C92EB7" w:rsidP="00A40DEB">
            <w:pPr>
              <w:rPr>
                <w:rFonts w:asciiTheme="majorHAnsi" w:hAnsiTheme="majorHAnsi" w:cstheme="majorHAnsi"/>
                <w:vertAlign w:val="superscript"/>
              </w:rPr>
            </w:pPr>
            <w:r>
              <w:rPr>
                <w:rFonts w:asciiTheme="majorHAnsi" w:hAnsiTheme="majorHAnsi" w:cstheme="majorHAnsi"/>
              </w:rPr>
              <w:lastRenderedPageBreak/>
              <w:t>R</w:t>
            </w:r>
            <w:r w:rsidRPr="0068104D">
              <w:rPr>
                <w:rFonts w:asciiTheme="majorHAnsi" w:hAnsiTheme="majorHAnsi" w:cstheme="majorHAnsi"/>
              </w:rPr>
              <w:t>eimburses program operators who serve no-cost, healthy meals and snacks to children and teens. Meals are served at summer sites in low-income communities, during which sponsors often also offer enrichment activities. In approved rural communities facing access issues, meals may be provided via grab-n-go or delivery</w:t>
            </w:r>
            <w:r>
              <w:rPr>
                <w:rFonts w:asciiTheme="majorHAnsi" w:hAnsiTheme="majorHAnsi" w:cstheme="majorHAnsi"/>
              </w:rPr>
              <w:t>.</w:t>
            </w:r>
            <w:r>
              <w:rPr>
                <w:rFonts w:asciiTheme="majorHAnsi" w:hAnsiTheme="majorHAnsi" w:cstheme="majorHAnsi"/>
                <w:vertAlign w:val="superscript"/>
              </w:rPr>
              <w:t>6</w:t>
            </w:r>
            <w:r w:rsidR="00403120">
              <w:rPr>
                <w:rFonts w:asciiTheme="majorHAnsi" w:hAnsiTheme="majorHAnsi" w:cstheme="majorHAnsi"/>
                <w:vertAlign w:val="superscript"/>
              </w:rPr>
              <w:t>1</w:t>
            </w:r>
          </w:p>
          <w:p w14:paraId="00C66C8A" w14:textId="77777777" w:rsidR="00C92EB7" w:rsidRDefault="00C92EB7" w:rsidP="00A40DEB">
            <w:pPr>
              <w:rPr>
                <w:rFonts w:asciiTheme="majorHAnsi" w:hAnsiTheme="majorHAnsi" w:cstheme="majorHAnsi"/>
                <w:vertAlign w:val="superscript"/>
              </w:rPr>
            </w:pPr>
          </w:p>
          <w:p w14:paraId="573E8F25" w14:textId="77777777" w:rsidR="00C92EB7" w:rsidRDefault="00C92EB7" w:rsidP="00A40DEB">
            <w:pPr>
              <w:rPr>
                <w:rFonts w:asciiTheme="majorHAnsi" w:hAnsiTheme="majorHAnsi" w:cstheme="majorHAnsi"/>
                <w:vertAlign w:val="superscript"/>
              </w:rPr>
            </w:pPr>
          </w:p>
          <w:p w14:paraId="1606744F" w14:textId="77777777" w:rsidR="00C92EB7" w:rsidRDefault="00C92EB7" w:rsidP="00A40DEB">
            <w:pPr>
              <w:rPr>
                <w:rFonts w:asciiTheme="majorHAnsi" w:hAnsiTheme="majorHAnsi" w:cstheme="majorHAnsi"/>
                <w:vertAlign w:val="superscript"/>
              </w:rPr>
            </w:pPr>
          </w:p>
          <w:p w14:paraId="10A8AEED" w14:textId="77777777" w:rsidR="00C92EB7" w:rsidRDefault="00C92EB7" w:rsidP="00A40DEB">
            <w:pPr>
              <w:rPr>
                <w:rFonts w:asciiTheme="majorHAnsi" w:hAnsiTheme="majorHAnsi" w:cstheme="majorHAnsi"/>
                <w:vertAlign w:val="superscript"/>
              </w:rPr>
            </w:pPr>
          </w:p>
          <w:p w14:paraId="324B84BA" w14:textId="77777777" w:rsidR="00C92EB7" w:rsidRPr="00241E30" w:rsidRDefault="00C92EB7" w:rsidP="00A40DEB">
            <w:pPr>
              <w:rPr>
                <w:rFonts w:asciiTheme="majorHAnsi" w:hAnsiTheme="majorHAnsi" w:cstheme="majorHAnsi"/>
                <w:vertAlign w:val="superscript"/>
              </w:rPr>
            </w:pPr>
          </w:p>
        </w:tc>
        <w:tc>
          <w:tcPr>
            <w:tcW w:w="3690" w:type="dxa"/>
            <w:shd w:val="clear" w:color="auto" w:fill="auto"/>
            <w:hideMark/>
          </w:tcPr>
          <w:p w14:paraId="162FAA1E" w14:textId="0ADEA089" w:rsidR="00C92EB7" w:rsidRPr="00241E30" w:rsidRDefault="00C92EB7" w:rsidP="00A40DEB">
            <w:pPr>
              <w:rPr>
                <w:rFonts w:asciiTheme="majorHAnsi" w:hAnsiTheme="majorHAnsi" w:cstheme="majorHAnsi"/>
                <w:vertAlign w:val="superscript"/>
              </w:rPr>
            </w:pPr>
            <w:r>
              <w:rPr>
                <w:rFonts w:asciiTheme="majorHAnsi" w:hAnsiTheme="majorHAnsi" w:cstheme="majorHAnsi"/>
              </w:rPr>
              <w:lastRenderedPageBreak/>
              <w:t>N</w:t>
            </w:r>
            <w:r w:rsidRPr="0068104D">
              <w:rPr>
                <w:rFonts w:asciiTheme="majorHAnsi" w:hAnsiTheme="majorHAnsi" w:cstheme="majorHAnsi"/>
              </w:rPr>
              <w:t>ew program for FY 2024</w:t>
            </w:r>
            <w:r>
              <w:rPr>
                <w:rFonts w:asciiTheme="majorHAnsi" w:hAnsiTheme="majorHAnsi" w:cstheme="majorHAnsi"/>
              </w:rPr>
              <w:t>, created to cover a gap in school children meeting nutritional needs outside of school year.  As a new program, there is limited longitudinal data, however early data</w:t>
            </w:r>
            <w:r w:rsidRPr="0068104D">
              <w:rPr>
                <w:rFonts w:asciiTheme="majorHAnsi" w:hAnsiTheme="majorHAnsi" w:cstheme="majorHAnsi"/>
              </w:rPr>
              <w:t xml:space="preserve"> seem</w:t>
            </w:r>
            <w:r>
              <w:rPr>
                <w:rFonts w:asciiTheme="majorHAnsi" w:hAnsiTheme="majorHAnsi" w:cstheme="majorHAnsi"/>
              </w:rPr>
              <w:t>s</w:t>
            </w:r>
            <w:r w:rsidRPr="0068104D">
              <w:rPr>
                <w:rFonts w:asciiTheme="majorHAnsi" w:hAnsiTheme="majorHAnsi" w:cstheme="majorHAnsi"/>
              </w:rPr>
              <w:t xml:space="preserve"> promising</w:t>
            </w:r>
            <w:r>
              <w:rPr>
                <w:rFonts w:asciiTheme="majorHAnsi" w:hAnsiTheme="majorHAnsi" w:cstheme="majorHAnsi"/>
              </w:rPr>
              <w:t>.</w:t>
            </w:r>
            <w:r>
              <w:rPr>
                <w:rFonts w:asciiTheme="majorHAnsi" w:hAnsiTheme="majorHAnsi" w:cstheme="majorHAnsi"/>
                <w:vertAlign w:val="superscript"/>
              </w:rPr>
              <w:t>6</w:t>
            </w:r>
            <w:r w:rsidR="00403120">
              <w:rPr>
                <w:rFonts w:asciiTheme="majorHAnsi" w:hAnsiTheme="majorHAnsi" w:cstheme="majorHAnsi"/>
                <w:vertAlign w:val="superscript"/>
              </w:rPr>
              <w:t>1</w:t>
            </w:r>
          </w:p>
        </w:tc>
        <w:tc>
          <w:tcPr>
            <w:tcW w:w="2340" w:type="dxa"/>
          </w:tcPr>
          <w:p w14:paraId="3D9DEC82" w14:textId="77777777" w:rsidR="00C92EB7" w:rsidRDefault="00C92EB7" w:rsidP="00A40DEB">
            <w:pPr>
              <w:rPr>
                <w:rFonts w:asciiTheme="majorHAnsi" w:hAnsiTheme="majorHAnsi" w:cstheme="majorHAnsi"/>
              </w:rPr>
            </w:pPr>
            <w:r>
              <w:rPr>
                <w:rFonts w:asciiTheme="majorHAnsi" w:hAnsiTheme="majorHAnsi" w:cstheme="majorHAnsi"/>
              </w:rPr>
              <w:t>Nutritional Support</w:t>
            </w:r>
          </w:p>
          <w:p w14:paraId="6E870620" w14:textId="77777777" w:rsidR="00C92EB7" w:rsidRDefault="00C92EB7" w:rsidP="00A40DEB">
            <w:pPr>
              <w:rPr>
                <w:rFonts w:asciiTheme="majorHAnsi" w:hAnsiTheme="majorHAnsi" w:cstheme="majorHAnsi"/>
              </w:rPr>
            </w:pPr>
          </w:p>
        </w:tc>
      </w:tr>
      <w:tr w:rsidR="00C92EB7" w:rsidRPr="0068104D" w14:paraId="2AF3F6CE" w14:textId="77777777" w:rsidTr="00A40DEB">
        <w:trPr>
          <w:trHeight w:val="5390"/>
        </w:trPr>
        <w:tc>
          <w:tcPr>
            <w:tcW w:w="1683" w:type="dxa"/>
            <w:shd w:val="clear" w:color="auto" w:fill="auto"/>
            <w:hideMark/>
          </w:tcPr>
          <w:p w14:paraId="02011C30" w14:textId="2C1F4B46" w:rsidR="00C92EB7" w:rsidRPr="007A1B3E" w:rsidRDefault="00C92EB7" w:rsidP="00A40DEB">
            <w:pPr>
              <w:rPr>
                <w:rFonts w:asciiTheme="majorHAnsi" w:hAnsiTheme="majorHAnsi" w:cstheme="majorHAnsi"/>
                <w:vertAlign w:val="superscript"/>
              </w:rPr>
            </w:pPr>
            <w:r w:rsidRPr="0068104D">
              <w:rPr>
                <w:rFonts w:asciiTheme="majorHAnsi" w:hAnsiTheme="majorHAnsi" w:cstheme="majorHAnsi"/>
              </w:rPr>
              <w:t>Social Security Administration (SSA)</w:t>
            </w:r>
            <w:r w:rsidR="00387D48">
              <w:rPr>
                <w:rFonts w:asciiTheme="majorHAnsi" w:hAnsiTheme="majorHAnsi" w:cstheme="majorHAnsi"/>
                <w:vertAlign w:val="superscript"/>
              </w:rPr>
              <w:t>17</w:t>
            </w:r>
          </w:p>
        </w:tc>
        <w:tc>
          <w:tcPr>
            <w:tcW w:w="2542" w:type="dxa"/>
            <w:shd w:val="clear" w:color="auto" w:fill="auto"/>
            <w:hideMark/>
          </w:tcPr>
          <w:p w14:paraId="7FA31B53" w14:textId="414326C8" w:rsidR="00C92EB7" w:rsidRPr="00241E30" w:rsidRDefault="00C92EB7" w:rsidP="00A40DEB">
            <w:pPr>
              <w:rPr>
                <w:rFonts w:asciiTheme="majorHAnsi" w:hAnsiTheme="majorHAnsi" w:cstheme="majorHAnsi"/>
                <w:vertAlign w:val="superscript"/>
              </w:rPr>
            </w:pPr>
            <w:r w:rsidRPr="0068104D">
              <w:rPr>
                <w:rFonts w:asciiTheme="majorHAnsi" w:hAnsiTheme="majorHAnsi" w:cstheme="majorHAnsi"/>
              </w:rPr>
              <w:t>Varies</w:t>
            </w:r>
            <w:r>
              <w:rPr>
                <w:rFonts w:asciiTheme="majorHAnsi" w:hAnsiTheme="majorHAnsi" w:cstheme="majorHAnsi"/>
                <w:vertAlign w:val="superscript"/>
              </w:rPr>
              <w:t>6</w:t>
            </w:r>
            <w:r w:rsidR="00403120">
              <w:rPr>
                <w:rFonts w:asciiTheme="majorHAnsi" w:hAnsiTheme="majorHAnsi" w:cstheme="majorHAnsi"/>
                <w:vertAlign w:val="superscript"/>
              </w:rPr>
              <w:t>2</w:t>
            </w:r>
          </w:p>
        </w:tc>
        <w:tc>
          <w:tcPr>
            <w:tcW w:w="2790" w:type="dxa"/>
            <w:shd w:val="clear" w:color="auto" w:fill="auto"/>
            <w:hideMark/>
          </w:tcPr>
          <w:p w14:paraId="2F5C40B5" w14:textId="7DC3CF46" w:rsidR="00C92EB7" w:rsidRPr="0068104D" w:rsidRDefault="00C92EB7" w:rsidP="00A40DEB">
            <w:pPr>
              <w:rPr>
                <w:rFonts w:asciiTheme="majorHAnsi" w:hAnsiTheme="majorHAnsi" w:cstheme="majorHAnsi"/>
              </w:rPr>
            </w:pPr>
            <w:r w:rsidRPr="0068104D">
              <w:rPr>
                <w:rFonts w:asciiTheme="majorHAnsi" w:hAnsiTheme="majorHAnsi" w:cstheme="majorHAnsi"/>
              </w:rPr>
              <w:t>Youth who are experiencing homelessness may qualify for a variety of survivor benefits and disability benefits.</w:t>
            </w:r>
            <w:r>
              <w:rPr>
                <w:rFonts w:asciiTheme="majorHAnsi" w:hAnsiTheme="majorHAnsi" w:cstheme="majorHAnsi"/>
                <w:vertAlign w:val="superscript"/>
              </w:rPr>
              <w:t>6</w:t>
            </w:r>
            <w:r w:rsidR="00403120">
              <w:rPr>
                <w:rFonts w:asciiTheme="majorHAnsi" w:hAnsiTheme="majorHAnsi" w:cstheme="majorHAnsi"/>
                <w:vertAlign w:val="superscript"/>
              </w:rPr>
              <w:t>2</w:t>
            </w:r>
          </w:p>
        </w:tc>
        <w:tc>
          <w:tcPr>
            <w:tcW w:w="3690" w:type="dxa"/>
            <w:shd w:val="clear" w:color="auto" w:fill="auto"/>
            <w:hideMark/>
          </w:tcPr>
          <w:p w14:paraId="012B2C69" w14:textId="2DC3947F" w:rsidR="00C92EB7" w:rsidRPr="00241E30" w:rsidRDefault="00C92EB7" w:rsidP="00A40DEB">
            <w:pPr>
              <w:rPr>
                <w:rFonts w:asciiTheme="majorHAnsi" w:hAnsiTheme="majorHAnsi" w:cstheme="majorHAnsi"/>
                <w:vertAlign w:val="superscript"/>
              </w:rPr>
            </w:pPr>
            <w:r>
              <w:rPr>
                <w:rFonts w:asciiTheme="majorHAnsi" w:hAnsiTheme="majorHAnsi" w:cstheme="majorHAnsi"/>
              </w:rPr>
              <w:t>Youth who</w:t>
            </w:r>
            <w:r w:rsidRPr="0068104D">
              <w:rPr>
                <w:rFonts w:asciiTheme="majorHAnsi" w:hAnsiTheme="majorHAnsi" w:cstheme="majorHAnsi"/>
              </w:rPr>
              <w:t xml:space="preserve"> experienced the death of a parent, may be eligible or Social Security survivor benefits. </w:t>
            </w:r>
            <w:r>
              <w:rPr>
                <w:rFonts w:asciiTheme="majorHAnsi" w:hAnsiTheme="majorHAnsi" w:cstheme="majorHAnsi"/>
              </w:rPr>
              <w:t>Also, i</w:t>
            </w:r>
            <w:r w:rsidRPr="0068104D">
              <w:rPr>
                <w:rFonts w:asciiTheme="majorHAnsi" w:hAnsiTheme="majorHAnsi" w:cstheme="majorHAnsi"/>
              </w:rPr>
              <w:t>f they have a serious mental illness, medical impairment, and/or a co-occurring substance use disorder, they may be eligible for Supplemental Security Income (SSI)</w:t>
            </w:r>
            <w:r>
              <w:rPr>
                <w:rFonts w:asciiTheme="majorHAnsi" w:hAnsiTheme="majorHAnsi" w:cstheme="majorHAnsi"/>
              </w:rPr>
              <w:t xml:space="preserve"> and </w:t>
            </w:r>
            <w:r w:rsidRPr="0068104D">
              <w:rPr>
                <w:rFonts w:asciiTheme="majorHAnsi" w:hAnsiTheme="majorHAnsi" w:cstheme="majorHAnsi"/>
              </w:rPr>
              <w:t>Social Security Disability Insurance (SSDI</w:t>
            </w:r>
            <w:r>
              <w:rPr>
                <w:rFonts w:asciiTheme="majorHAnsi" w:hAnsiTheme="majorHAnsi" w:cstheme="majorHAnsi"/>
              </w:rPr>
              <w:t xml:space="preserve">).  Through </w:t>
            </w:r>
            <w:r w:rsidRPr="0068104D">
              <w:rPr>
                <w:rFonts w:asciiTheme="majorHAnsi" w:hAnsiTheme="majorHAnsi" w:cstheme="majorHAnsi"/>
              </w:rPr>
              <w:t xml:space="preserve">Substance Abuse and Mental Health Administration (SAMHSA) SSI/SSDI Outreach, Access, and Recovery (SOAR) </w:t>
            </w:r>
            <w:r>
              <w:rPr>
                <w:rFonts w:asciiTheme="majorHAnsi" w:hAnsiTheme="majorHAnsi" w:cstheme="majorHAnsi"/>
              </w:rPr>
              <w:t xml:space="preserve">homeless youth can experience </w:t>
            </w:r>
            <w:r w:rsidRPr="0068104D">
              <w:rPr>
                <w:rFonts w:asciiTheme="majorHAnsi" w:hAnsiTheme="majorHAnsi" w:cstheme="majorHAnsi"/>
              </w:rPr>
              <w:t xml:space="preserve">increase access to income and health insurance, facilitate housing stability, and </w:t>
            </w:r>
            <w:r>
              <w:rPr>
                <w:rFonts w:asciiTheme="majorHAnsi" w:hAnsiTheme="majorHAnsi" w:cstheme="majorHAnsi"/>
              </w:rPr>
              <w:t xml:space="preserve">receive </w:t>
            </w:r>
            <w:r w:rsidRPr="0068104D">
              <w:rPr>
                <w:rFonts w:asciiTheme="majorHAnsi" w:hAnsiTheme="majorHAnsi" w:cstheme="majorHAnsi"/>
              </w:rPr>
              <w:t>support in pursuing education and vocational goals.</w:t>
            </w:r>
            <w:r>
              <w:rPr>
                <w:rFonts w:asciiTheme="majorHAnsi" w:hAnsiTheme="majorHAnsi" w:cstheme="majorHAnsi"/>
                <w:vertAlign w:val="superscript"/>
              </w:rPr>
              <w:t>6</w:t>
            </w:r>
            <w:r w:rsidR="00403120">
              <w:rPr>
                <w:rFonts w:asciiTheme="majorHAnsi" w:hAnsiTheme="majorHAnsi" w:cstheme="majorHAnsi"/>
                <w:vertAlign w:val="superscript"/>
              </w:rPr>
              <w:t>2</w:t>
            </w:r>
          </w:p>
        </w:tc>
        <w:tc>
          <w:tcPr>
            <w:tcW w:w="2340" w:type="dxa"/>
          </w:tcPr>
          <w:p w14:paraId="705364A6" w14:textId="77777777" w:rsidR="00C92EB7" w:rsidRDefault="00C92EB7" w:rsidP="00A40DEB">
            <w:pPr>
              <w:rPr>
                <w:rFonts w:asciiTheme="majorHAnsi" w:hAnsiTheme="majorHAnsi" w:cstheme="majorHAnsi"/>
              </w:rPr>
            </w:pPr>
            <w:r>
              <w:rPr>
                <w:rFonts w:asciiTheme="majorHAnsi" w:hAnsiTheme="majorHAnsi" w:cstheme="majorHAnsi"/>
              </w:rPr>
              <w:t>Financial Support</w:t>
            </w:r>
          </w:p>
          <w:p w14:paraId="4A493076" w14:textId="77777777" w:rsidR="00C92EB7" w:rsidRDefault="00C92EB7" w:rsidP="00A40DEB">
            <w:pPr>
              <w:rPr>
                <w:rFonts w:asciiTheme="majorHAnsi" w:hAnsiTheme="majorHAnsi" w:cstheme="majorHAnsi"/>
              </w:rPr>
            </w:pPr>
            <w:r>
              <w:rPr>
                <w:rFonts w:asciiTheme="majorHAnsi" w:hAnsiTheme="majorHAnsi" w:cstheme="majorHAnsi"/>
              </w:rPr>
              <w:t>Supportive Services</w:t>
            </w:r>
          </w:p>
          <w:p w14:paraId="74D5037E" w14:textId="77777777" w:rsidR="00C92EB7" w:rsidRDefault="00C92EB7" w:rsidP="00A40DEB">
            <w:pPr>
              <w:rPr>
                <w:rFonts w:asciiTheme="majorHAnsi" w:hAnsiTheme="majorHAnsi" w:cstheme="majorHAnsi"/>
              </w:rPr>
            </w:pPr>
          </w:p>
        </w:tc>
      </w:tr>
    </w:tbl>
    <w:p w14:paraId="6C500464" w14:textId="77777777" w:rsidR="00C92EB7" w:rsidRDefault="00C92EB7" w:rsidP="00C92EB7">
      <w:pPr>
        <w:rPr>
          <w:rFonts w:asciiTheme="majorHAnsi" w:hAnsiTheme="majorHAnsi" w:cstheme="majorHAnsi"/>
          <w:b/>
          <w:bCs/>
        </w:rPr>
      </w:pPr>
    </w:p>
    <w:p w14:paraId="3854FACE" w14:textId="645F61BF" w:rsidR="00707C0F" w:rsidRPr="00DB2754" w:rsidRDefault="00C92EB7" w:rsidP="00DB2754">
      <w:pPr>
        <w:spacing w:line="360" w:lineRule="auto"/>
        <w:rPr>
          <w:rFonts w:asciiTheme="majorHAnsi" w:hAnsiTheme="majorHAnsi" w:cstheme="majorHAnsi"/>
        </w:rPr>
        <w:sectPr w:rsidR="00707C0F" w:rsidRPr="00DB2754" w:rsidSect="001A037A">
          <w:headerReference w:type="even" r:id="rId13"/>
          <w:headerReference w:type="default" r:id="rId14"/>
          <w:footerReference w:type="even" r:id="rId15"/>
          <w:footerReference w:type="default" r:id="rId16"/>
          <w:headerReference w:type="first" r:id="rId17"/>
          <w:pgSz w:w="15840" w:h="12240" w:orient="landscape"/>
          <w:pgMar w:top="1440" w:right="1440" w:bottom="1440" w:left="1440" w:header="720" w:footer="720" w:gutter="0"/>
          <w:cols w:space="720"/>
          <w:titlePg/>
          <w:docGrid w:linePitch="360"/>
        </w:sectPr>
      </w:pPr>
      <w:r w:rsidRPr="006B5A1B">
        <w:rPr>
          <w:rFonts w:asciiTheme="majorHAnsi" w:hAnsiTheme="majorHAnsi" w:cstheme="majorHAnsi"/>
        </w:rPr>
        <w:tab/>
        <w:t xml:space="preserve">Table </w:t>
      </w:r>
      <w:r>
        <w:rPr>
          <w:rFonts w:asciiTheme="majorHAnsi" w:hAnsiTheme="majorHAnsi" w:cstheme="majorHAnsi"/>
        </w:rPr>
        <w:t>2</w:t>
      </w:r>
      <w:r w:rsidRPr="0068104D">
        <w:rPr>
          <w:rFonts w:asciiTheme="majorHAnsi" w:hAnsiTheme="majorHAnsi" w:cstheme="majorHAnsi"/>
        </w:rPr>
        <w:t xml:space="preserve">. Content Analysis of youth.gov Data </w:t>
      </w:r>
      <w:r w:rsidRPr="006B5A1B">
        <w:rPr>
          <w:rFonts w:asciiTheme="majorHAnsi" w:hAnsiTheme="majorHAnsi" w:cstheme="majorHAnsi"/>
        </w:rPr>
        <w:t xml:space="preserve">contains data collected </w:t>
      </w:r>
      <w:r>
        <w:rPr>
          <w:rFonts w:asciiTheme="majorHAnsi" w:hAnsiTheme="majorHAnsi" w:cstheme="majorHAnsi"/>
        </w:rPr>
        <w:t>form the content analysis of youth.gov</w:t>
      </w:r>
      <w:r w:rsidRPr="006B5A1B">
        <w:rPr>
          <w:rFonts w:asciiTheme="majorHAnsi" w:hAnsiTheme="majorHAnsi" w:cstheme="majorHAnsi"/>
        </w:rPr>
        <w:t xml:space="preserve">.  This data was </w:t>
      </w:r>
      <w:proofErr w:type="gramStart"/>
      <w:r w:rsidRPr="006B5A1B">
        <w:rPr>
          <w:rFonts w:asciiTheme="majorHAnsi" w:hAnsiTheme="majorHAnsi" w:cstheme="majorHAnsi"/>
        </w:rPr>
        <w:t>collected</w:t>
      </w:r>
      <w:proofErr w:type="gramEnd"/>
      <w:r w:rsidRPr="006B5A1B">
        <w:rPr>
          <w:rFonts w:asciiTheme="majorHAnsi" w:hAnsiTheme="majorHAnsi" w:cstheme="majorHAnsi"/>
        </w:rPr>
        <w:t xml:space="preserve"> analyzed</w:t>
      </w:r>
      <w:r>
        <w:rPr>
          <w:rFonts w:asciiTheme="majorHAnsi" w:hAnsiTheme="majorHAnsi" w:cstheme="majorHAnsi"/>
        </w:rPr>
        <w:t xml:space="preserve"> with respect to established measurement, program focus</w:t>
      </w:r>
      <w:r w:rsidRPr="006B5A1B">
        <w:rPr>
          <w:rFonts w:asciiTheme="majorHAnsi" w:hAnsiTheme="majorHAnsi" w:cstheme="majorHAnsi"/>
        </w:rPr>
        <w:t>.</w:t>
      </w:r>
      <w:r>
        <w:rPr>
          <w:rFonts w:asciiTheme="majorHAnsi" w:hAnsiTheme="majorHAnsi" w:cstheme="majorHAnsi"/>
        </w:rPr>
        <w:t xml:space="preserve">  Information reflected within data table was derived from youth.gov and governmental sources as established in “References”.</w:t>
      </w:r>
    </w:p>
    <w:p w14:paraId="2F268189" w14:textId="6427BD32" w:rsidR="00707C0F" w:rsidRPr="006B5A1B" w:rsidRDefault="00707C0F" w:rsidP="00707C0F">
      <w:pPr>
        <w:rPr>
          <w:rFonts w:asciiTheme="majorHAnsi" w:hAnsiTheme="majorHAnsi" w:cstheme="majorHAnsi"/>
          <w:b/>
          <w:bCs/>
        </w:rPr>
      </w:pPr>
      <w:r w:rsidRPr="006B5A1B">
        <w:rPr>
          <w:rFonts w:asciiTheme="majorHAnsi" w:hAnsiTheme="majorHAnsi" w:cstheme="majorHAnsi"/>
          <w:b/>
          <w:bCs/>
        </w:rPr>
        <w:lastRenderedPageBreak/>
        <w:t>Results</w:t>
      </w:r>
    </w:p>
    <w:p w14:paraId="48CA8B8C" w14:textId="3A143DC9" w:rsidR="00CA7A2A" w:rsidRDefault="00500913" w:rsidP="00CA7A2A">
      <w:pPr>
        <w:spacing w:line="360" w:lineRule="auto"/>
        <w:ind w:firstLine="720"/>
      </w:pPr>
      <w:r w:rsidRPr="00860B60">
        <w:t>The literature review identified numerous risk factors for youth homelessness including: alcohol use (n=3)</w:t>
      </w:r>
      <w:r w:rsidR="00403120">
        <w:rPr>
          <w:vertAlign w:val="superscript"/>
        </w:rPr>
        <w:t>19</w:t>
      </w:r>
      <w:r w:rsidRPr="00860B60">
        <w:rPr>
          <w:vertAlign w:val="superscript"/>
        </w:rPr>
        <w:t>,2</w:t>
      </w:r>
      <w:r w:rsidR="00403120">
        <w:rPr>
          <w:vertAlign w:val="superscript"/>
        </w:rPr>
        <w:t>4</w:t>
      </w:r>
      <w:r w:rsidRPr="00860B60">
        <w:rPr>
          <w:vertAlign w:val="superscript"/>
        </w:rPr>
        <w:t>,3</w:t>
      </w:r>
      <w:r w:rsidR="00403120">
        <w:rPr>
          <w:vertAlign w:val="superscript"/>
        </w:rPr>
        <w:t>1</w:t>
      </w:r>
      <w:r w:rsidRPr="00860B60">
        <w:t>, community/environmental violence (n=1)</w:t>
      </w:r>
      <w:r w:rsidR="00403120">
        <w:rPr>
          <w:vertAlign w:val="superscript"/>
        </w:rPr>
        <w:t>19</w:t>
      </w:r>
      <w:r w:rsidRPr="00860B60">
        <w:t>, delinquent/criminal behavior; judicial interactions (n=5)</w:t>
      </w:r>
      <w:r w:rsidRPr="00860B60">
        <w:rPr>
          <w:vertAlign w:val="superscript"/>
        </w:rPr>
        <w:t>2</w:t>
      </w:r>
      <w:r w:rsidR="00403120">
        <w:rPr>
          <w:vertAlign w:val="superscript"/>
        </w:rPr>
        <w:t>3</w:t>
      </w:r>
      <w:r w:rsidRPr="00860B60">
        <w:rPr>
          <w:vertAlign w:val="superscript"/>
        </w:rPr>
        <w:t>,</w:t>
      </w:r>
      <w:r w:rsidR="00403120">
        <w:rPr>
          <w:vertAlign w:val="superscript"/>
        </w:rPr>
        <w:t>29</w:t>
      </w:r>
      <w:r w:rsidRPr="00860B60">
        <w:rPr>
          <w:vertAlign w:val="superscript"/>
        </w:rPr>
        <w:t>,3</w:t>
      </w:r>
      <w:r w:rsidR="00403120">
        <w:rPr>
          <w:vertAlign w:val="superscript"/>
        </w:rPr>
        <w:t>1</w:t>
      </w:r>
      <w:r w:rsidRPr="00860B60">
        <w:rPr>
          <w:vertAlign w:val="superscript"/>
        </w:rPr>
        <w:t>,</w:t>
      </w:r>
      <w:r w:rsidR="00403120">
        <w:rPr>
          <w:vertAlign w:val="superscript"/>
        </w:rPr>
        <w:t>38</w:t>
      </w:r>
      <w:r w:rsidRPr="00860B60">
        <w:rPr>
          <w:vertAlign w:val="superscript"/>
        </w:rPr>
        <w:t>,4</w:t>
      </w:r>
      <w:r w:rsidR="00403120">
        <w:rPr>
          <w:vertAlign w:val="superscript"/>
        </w:rPr>
        <w:t>0</w:t>
      </w:r>
      <w:r w:rsidRPr="00860B60">
        <w:t>,</w:t>
      </w:r>
      <w:r w:rsidRPr="00860B60">
        <w:rPr>
          <w:vertAlign w:val="superscript"/>
        </w:rPr>
        <w:t xml:space="preserve"> </w:t>
      </w:r>
      <w:r w:rsidRPr="00860B60">
        <w:t>domestic abuse/violence (n=1)</w:t>
      </w:r>
      <w:r w:rsidR="00403120">
        <w:rPr>
          <w:vertAlign w:val="superscript"/>
        </w:rPr>
        <w:t>19</w:t>
      </w:r>
      <w:r w:rsidRPr="00860B60">
        <w:t>,</w:t>
      </w:r>
      <w:r w:rsidRPr="00860B60">
        <w:rPr>
          <w:vertAlign w:val="superscript"/>
        </w:rPr>
        <w:t xml:space="preserve"> </w:t>
      </w:r>
      <w:r w:rsidRPr="00860B60">
        <w:t>emotional abuse (n=1)</w:t>
      </w:r>
      <w:r w:rsidRPr="00860B60">
        <w:rPr>
          <w:vertAlign w:val="superscript"/>
        </w:rPr>
        <w:t>2</w:t>
      </w:r>
      <w:r w:rsidR="00403120">
        <w:rPr>
          <w:vertAlign w:val="superscript"/>
        </w:rPr>
        <w:t>0</w:t>
      </w:r>
      <w:r w:rsidRPr="00860B60">
        <w:t>, employment instability (n=2)</w:t>
      </w:r>
      <w:r w:rsidRPr="00860B60">
        <w:rPr>
          <w:vertAlign w:val="superscript"/>
        </w:rPr>
        <w:t>2</w:t>
      </w:r>
      <w:r w:rsidR="00403120">
        <w:rPr>
          <w:vertAlign w:val="superscript"/>
        </w:rPr>
        <w:t>4</w:t>
      </w:r>
      <w:r w:rsidRPr="00860B60">
        <w:rPr>
          <w:vertAlign w:val="superscript"/>
        </w:rPr>
        <w:t>,3</w:t>
      </w:r>
      <w:r w:rsidR="00403120">
        <w:rPr>
          <w:vertAlign w:val="superscript"/>
        </w:rPr>
        <w:t>2</w:t>
      </w:r>
      <w:r w:rsidRPr="00860B60">
        <w:t>, ethnic/racial minority (n=9)</w:t>
      </w:r>
      <w:r w:rsidR="00403120">
        <w:rPr>
          <w:vertAlign w:val="superscript"/>
        </w:rPr>
        <w:t>19</w:t>
      </w:r>
      <w:r w:rsidRPr="00860B60">
        <w:rPr>
          <w:vertAlign w:val="superscript"/>
        </w:rPr>
        <w:t>,2</w:t>
      </w:r>
      <w:r w:rsidR="00403120">
        <w:rPr>
          <w:vertAlign w:val="superscript"/>
        </w:rPr>
        <w:t>2</w:t>
      </w:r>
      <w:r w:rsidRPr="00860B60">
        <w:rPr>
          <w:vertAlign w:val="superscript"/>
        </w:rPr>
        <w:t>,</w:t>
      </w:r>
      <w:r w:rsidR="00403120">
        <w:rPr>
          <w:vertAlign w:val="superscript"/>
        </w:rPr>
        <w:t>28</w:t>
      </w:r>
      <w:r w:rsidRPr="00860B60">
        <w:rPr>
          <w:vertAlign w:val="superscript"/>
        </w:rPr>
        <w:t>-3</w:t>
      </w:r>
      <w:r w:rsidR="00403120">
        <w:rPr>
          <w:vertAlign w:val="superscript"/>
        </w:rPr>
        <w:t>2</w:t>
      </w:r>
      <w:r w:rsidRPr="00860B60">
        <w:rPr>
          <w:vertAlign w:val="superscript"/>
        </w:rPr>
        <w:t>,</w:t>
      </w:r>
      <w:r w:rsidR="00403120">
        <w:rPr>
          <w:vertAlign w:val="superscript"/>
        </w:rPr>
        <w:t>37</w:t>
      </w:r>
      <w:r w:rsidRPr="00860B60">
        <w:rPr>
          <w:vertAlign w:val="superscript"/>
        </w:rPr>
        <w:t>,</w:t>
      </w:r>
      <w:r w:rsidR="00403120">
        <w:rPr>
          <w:vertAlign w:val="superscript"/>
        </w:rPr>
        <w:t>39</w:t>
      </w:r>
      <w:r w:rsidRPr="00860B60">
        <w:t>,</w:t>
      </w:r>
      <w:r w:rsidRPr="00860B60">
        <w:rPr>
          <w:vertAlign w:val="superscript"/>
        </w:rPr>
        <w:t xml:space="preserve"> </w:t>
      </w:r>
      <w:r w:rsidRPr="00860B60">
        <w:t>familial rejection (n=2)</w:t>
      </w:r>
      <w:r w:rsidR="00403120">
        <w:rPr>
          <w:vertAlign w:val="superscript"/>
        </w:rPr>
        <w:t>29</w:t>
      </w:r>
      <w:r w:rsidRPr="00860B60">
        <w:rPr>
          <w:vertAlign w:val="superscript"/>
        </w:rPr>
        <w:t>,3</w:t>
      </w:r>
      <w:r w:rsidR="00403120">
        <w:rPr>
          <w:vertAlign w:val="superscript"/>
        </w:rPr>
        <w:t>0</w:t>
      </w:r>
      <w:r w:rsidRPr="00860B60">
        <w:t>, financial instability(n=4)</w:t>
      </w:r>
      <w:r w:rsidRPr="00860B60">
        <w:rPr>
          <w:vertAlign w:val="superscript"/>
        </w:rPr>
        <w:t>2</w:t>
      </w:r>
      <w:r w:rsidR="00403120">
        <w:rPr>
          <w:vertAlign w:val="superscript"/>
        </w:rPr>
        <w:t>3</w:t>
      </w:r>
      <w:r w:rsidRPr="00860B60">
        <w:rPr>
          <w:vertAlign w:val="superscript"/>
        </w:rPr>
        <w:t>,2</w:t>
      </w:r>
      <w:r w:rsidR="00403120">
        <w:rPr>
          <w:vertAlign w:val="superscript"/>
        </w:rPr>
        <w:t>4</w:t>
      </w:r>
      <w:r w:rsidRPr="00860B60">
        <w:rPr>
          <w:vertAlign w:val="superscript"/>
        </w:rPr>
        <w:t>,</w:t>
      </w:r>
      <w:r w:rsidR="00403120">
        <w:rPr>
          <w:vertAlign w:val="superscript"/>
        </w:rPr>
        <w:t>29</w:t>
      </w:r>
      <w:r w:rsidRPr="00860B60">
        <w:rPr>
          <w:vertAlign w:val="superscript"/>
        </w:rPr>
        <w:t>,3</w:t>
      </w:r>
      <w:r w:rsidR="00403120">
        <w:rPr>
          <w:vertAlign w:val="superscript"/>
        </w:rPr>
        <w:t>2</w:t>
      </w:r>
      <w:r w:rsidRPr="00860B60">
        <w:t>, foster care (n=2)</w:t>
      </w:r>
      <w:r w:rsidR="00403120">
        <w:rPr>
          <w:vertAlign w:val="superscript"/>
        </w:rPr>
        <w:t>26</w:t>
      </w:r>
      <w:r w:rsidRPr="00860B60">
        <w:rPr>
          <w:vertAlign w:val="superscript"/>
        </w:rPr>
        <w:t>,</w:t>
      </w:r>
      <w:r w:rsidR="00403120">
        <w:rPr>
          <w:vertAlign w:val="superscript"/>
        </w:rPr>
        <w:t>37</w:t>
      </w:r>
      <w:r w:rsidRPr="00860B60">
        <w:t>, history of housing instability/homelessness (n=6)</w:t>
      </w:r>
      <w:r w:rsidR="00403120">
        <w:rPr>
          <w:vertAlign w:val="superscript"/>
        </w:rPr>
        <w:t>19</w:t>
      </w:r>
      <w:r w:rsidRPr="00860B60">
        <w:rPr>
          <w:vertAlign w:val="superscript"/>
        </w:rPr>
        <w:t>,2</w:t>
      </w:r>
      <w:r w:rsidR="00403120">
        <w:rPr>
          <w:vertAlign w:val="superscript"/>
        </w:rPr>
        <w:t>3</w:t>
      </w:r>
      <w:r w:rsidRPr="00860B60">
        <w:rPr>
          <w:vertAlign w:val="superscript"/>
        </w:rPr>
        <w:t>,</w:t>
      </w:r>
      <w:r w:rsidR="00403120">
        <w:rPr>
          <w:vertAlign w:val="superscript"/>
        </w:rPr>
        <w:t>27</w:t>
      </w:r>
      <w:r w:rsidRPr="00860B60">
        <w:rPr>
          <w:vertAlign w:val="superscript"/>
        </w:rPr>
        <w:t>,</w:t>
      </w:r>
      <w:r w:rsidR="00403120">
        <w:rPr>
          <w:vertAlign w:val="superscript"/>
        </w:rPr>
        <w:t>29</w:t>
      </w:r>
      <w:r w:rsidRPr="00860B60">
        <w:rPr>
          <w:vertAlign w:val="superscript"/>
        </w:rPr>
        <w:t>,3</w:t>
      </w:r>
      <w:r w:rsidR="00403120">
        <w:rPr>
          <w:vertAlign w:val="superscript"/>
        </w:rPr>
        <w:t>1</w:t>
      </w:r>
      <w:r w:rsidRPr="00860B60">
        <w:rPr>
          <w:vertAlign w:val="superscript"/>
        </w:rPr>
        <w:t>,3</w:t>
      </w:r>
      <w:r w:rsidR="00403120">
        <w:rPr>
          <w:vertAlign w:val="superscript"/>
        </w:rPr>
        <w:t>2</w:t>
      </w:r>
      <w:r w:rsidRPr="00860B60">
        <w:t>,</w:t>
      </w:r>
      <w:r w:rsidRPr="00860B60">
        <w:rPr>
          <w:vertAlign w:val="superscript"/>
        </w:rPr>
        <w:t xml:space="preserve"> </w:t>
      </w:r>
      <w:r w:rsidRPr="00860B60">
        <w:t>household substance use n=3)</w:t>
      </w:r>
      <w:r w:rsidR="00403120">
        <w:rPr>
          <w:vertAlign w:val="superscript"/>
        </w:rPr>
        <w:t>27</w:t>
      </w:r>
      <w:r w:rsidRPr="00860B60">
        <w:rPr>
          <w:vertAlign w:val="superscript"/>
        </w:rPr>
        <w:t>,3</w:t>
      </w:r>
      <w:r w:rsidR="00403120">
        <w:rPr>
          <w:vertAlign w:val="superscript"/>
        </w:rPr>
        <w:t>1</w:t>
      </w:r>
      <w:r w:rsidRPr="00860B60">
        <w:rPr>
          <w:vertAlign w:val="superscript"/>
        </w:rPr>
        <w:t>,</w:t>
      </w:r>
      <w:r w:rsidR="00403120">
        <w:rPr>
          <w:vertAlign w:val="superscript"/>
        </w:rPr>
        <w:t>38</w:t>
      </w:r>
      <w:r w:rsidRPr="00860B60">
        <w:t>,</w:t>
      </w:r>
      <w:r w:rsidRPr="00860B60">
        <w:rPr>
          <w:vertAlign w:val="superscript"/>
        </w:rPr>
        <w:t xml:space="preserve"> </w:t>
      </w:r>
      <w:r w:rsidRPr="00860B60">
        <w:t>lack of meeting basic needs (n=2)</w:t>
      </w:r>
      <w:r w:rsidR="00403120">
        <w:rPr>
          <w:vertAlign w:val="superscript"/>
        </w:rPr>
        <w:t>29</w:t>
      </w:r>
      <w:r w:rsidRPr="00860B60">
        <w:rPr>
          <w:vertAlign w:val="superscript"/>
        </w:rPr>
        <w:t>,</w:t>
      </w:r>
      <w:r w:rsidR="00403120">
        <w:rPr>
          <w:vertAlign w:val="superscript"/>
        </w:rPr>
        <w:t>37</w:t>
      </w:r>
      <w:r w:rsidRPr="00860B60">
        <w:t>, lack of parental involvement (n=2)</w:t>
      </w:r>
      <w:r w:rsidR="00403120">
        <w:rPr>
          <w:vertAlign w:val="superscript"/>
        </w:rPr>
        <w:t>27</w:t>
      </w:r>
      <w:r w:rsidRPr="00860B60">
        <w:rPr>
          <w:vertAlign w:val="superscript"/>
        </w:rPr>
        <w:t>,4</w:t>
      </w:r>
      <w:r w:rsidR="00403120">
        <w:rPr>
          <w:vertAlign w:val="superscript"/>
        </w:rPr>
        <w:t>0</w:t>
      </w:r>
      <w:r w:rsidRPr="00860B60">
        <w:t>, LGBTQ+ (n=8)</w:t>
      </w:r>
      <w:r w:rsidR="00403120">
        <w:rPr>
          <w:vertAlign w:val="superscript"/>
        </w:rPr>
        <w:t>19</w:t>
      </w:r>
      <w:r w:rsidRPr="00860B60">
        <w:rPr>
          <w:vertAlign w:val="superscript"/>
        </w:rPr>
        <w:t>,2</w:t>
      </w:r>
      <w:r w:rsidR="00403120">
        <w:rPr>
          <w:vertAlign w:val="superscript"/>
        </w:rPr>
        <w:t>2</w:t>
      </w:r>
      <w:r w:rsidRPr="00860B60">
        <w:rPr>
          <w:vertAlign w:val="superscript"/>
        </w:rPr>
        <w:t>,</w:t>
      </w:r>
      <w:r w:rsidR="00403120">
        <w:rPr>
          <w:vertAlign w:val="superscript"/>
        </w:rPr>
        <w:t>26</w:t>
      </w:r>
      <w:r w:rsidRPr="00860B60">
        <w:rPr>
          <w:vertAlign w:val="superscript"/>
        </w:rPr>
        <w:t>,</w:t>
      </w:r>
      <w:r w:rsidR="00403120">
        <w:rPr>
          <w:vertAlign w:val="superscript"/>
        </w:rPr>
        <w:t>28</w:t>
      </w:r>
      <w:r w:rsidRPr="00860B60">
        <w:rPr>
          <w:vertAlign w:val="superscript"/>
        </w:rPr>
        <w:t>-3</w:t>
      </w:r>
      <w:r w:rsidR="00403120">
        <w:rPr>
          <w:vertAlign w:val="superscript"/>
        </w:rPr>
        <w:t>0</w:t>
      </w:r>
      <w:r w:rsidRPr="00860B60">
        <w:rPr>
          <w:vertAlign w:val="superscript"/>
        </w:rPr>
        <w:t>,</w:t>
      </w:r>
      <w:r w:rsidR="00403120">
        <w:rPr>
          <w:vertAlign w:val="superscript"/>
        </w:rPr>
        <w:t>37</w:t>
      </w:r>
      <w:r w:rsidRPr="00860B60">
        <w:rPr>
          <w:vertAlign w:val="superscript"/>
        </w:rPr>
        <w:t>,</w:t>
      </w:r>
      <w:r w:rsidR="00403120">
        <w:rPr>
          <w:vertAlign w:val="superscript"/>
        </w:rPr>
        <w:t>39</w:t>
      </w:r>
      <w:r w:rsidRPr="00860B60">
        <w:t>, low educational attainment (n=4)</w:t>
      </w:r>
      <w:r w:rsidR="00403120">
        <w:rPr>
          <w:vertAlign w:val="superscript"/>
        </w:rPr>
        <w:t>29</w:t>
      </w:r>
      <w:r w:rsidRPr="00860B60">
        <w:rPr>
          <w:vertAlign w:val="superscript"/>
        </w:rPr>
        <w:t>,3</w:t>
      </w:r>
      <w:r w:rsidR="00403120">
        <w:rPr>
          <w:vertAlign w:val="superscript"/>
        </w:rPr>
        <w:t>1</w:t>
      </w:r>
      <w:r w:rsidRPr="00860B60">
        <w:rPr>
          <w:vertAlign w:val="superscript"/>
        </w:rPr>
        <w:t>,3</w:t>
      </w:r>
      <w:r w:rsidR="00403120">
        <w:rPr>
          <w:vertAlign w:val="superscript"/>
        </w:rPr>
        <w:t>2</w:t>
      </w:r>
      <w:r w:rsidRPr="00860B60">
        <w:rPr>
          <w:vertAlign w:val="superscript"/>
        </w:rPr>
        <w:t>,4</w:t>
      </w:r>
      <w:r w:rsidR="00403120">
        <w:rPr>
          <w:vertAlign w:val="superscript"/>
        </w:rPr>
        <w:t>0</w:t>
      </w:r>
      <w:r w:rsidRPr="00860B60">
        <w:t>, male (n=3)</w:t>
      </w:r>
      <w:r w:rsidR="00403120">
        <w:rPr>
          <w:vertAlign w:val="superscript"/>
        </w:rPr>
        <w:t>28</w:t>
      </w:r>
      <w:r w:rsidRPr="00860B60">
        <w:rPr>
          <w:vertAlign w:val="superscript"/>
        </w:rPr>
        <w:t>,3</w:t>
      </w:r>
      <w:r w:rsidR="00403120">
        <w:rPr>
          <w:vertAlign w:val="superscript"/>
        </w:rPr>
        <w:t>1</w:t>
      </w:r>
      <w:r w:rsidRPr="00860B60">
        <w:rPr>
          <w:vertAlign w:val="superscript"/>
        </w:rPr>
        <w:t>,</w:t>
      </w:r>
      <w:r w:rsidR="00403120">
        <w:rPr>
          <w:vertAlign w:val="superscript"/>
        </w:rPr>
        <w:t>39</w:t>
      </w:r>
      <w:r w:rsidRPr="00860B60">
        <w:t>,</w:t>
      </w:r>
      <w:r w:rsidRPr="00860B60">
        <w:rPr>
          <w:vertAlign w:val="superscript"/>
        </w:rPr>
        <w:t xml:space="preserve"> </w:t>
      </w:r>
      <w:proofErr w:type="spellStart"/>
      <w:r w:rsidRPr="00860B60">
        <w:t>non descriptive</w:t>
      </w:r>
      <w:proofErr w:type="spellEnd"/>
      <w:r w:rsidRPr="00860B60">
        <w:t xml:space="preserve"> abuse/violence (n=2)</w:t>
      </w:r>
      <w:r w:rsidRPr="00860B60">
        <w:rPr>
          <w:vertAlign w:val="superscript"/>
        </w:rPr>
        <w:t>2</w:t>
      </w:r>
      <w:r w:rsidR="00D30CD5">
        <w:rPr>
          <w:vertAlign w:val="superscript"/>
        </w:rPr>
        <w:t>3</w:t>
      </w:r>
      <w:r w:rsidRPr="00860B60">
        <w:rPr>
          <w:vertAlign w:val="superscript"/>
        </w:rPr>
        <w:t>,4</w:t>
      </w:r>
      <w:r w:rsidR="00403120">
        <w:rPr>
          <w:vertAlign w:val="superscript"/>
        </w:rPr>
        <w:t>2</w:t>
      </w:r>
      <w:r w:rsidRPr="00860B60">
        <w:t xml:space="preserve">, </w:t>
      </w:r>
      <w:proofErr w:type="spellStart"/>
      <w:r w:rsidRPr="00860B60">
        <w:t>non descriptive</w:t>
      </w:r>
      <w:proofErr w:type="spellEnd"/>
      <w:r w:rsidRPr="00860B60">
        <w:t xml:space="preserve"> familial problems (n=1)</w:t>
      </w:r>
      <w:r w:rsidRPr="00860B60">
        <w:rPr>
          <w:vertAlign w:val="superscript"/>
        </w:rPr>
        <w:t>2</w:t>
      </w:r>
      <w:r w:rsidR="00403120">
        <w:rPr>
          <w:vertAlign w:val="superscript"/>
        </w:rPr>
        <w:t>3</w:t>
      </w:r>
      <w:r w:rsidRPr="00860B60">
        <w:t>, older age (n=1)</w:t>
      </w:r>
      <w:r w:rsidRPr="00860B60">
        <w:rPr>
          <w:vertAlign w:val="superscript"/>
        </w:rPr>
        <w:t>3</w:t>
      </w:r>
      <w:r w:rsidR="00403120">
        <w:rPr>
          <w:vertAlign w:val="superscript"/>
        </w:rPr>
        <w:t>0</w:t>
      </w:r>
      <w:r w:rsidRPr="00860B60">
        <w:t xml:space="preserve">, physical abuse/violence (n=5) </w:t>
      </w:r>
      <w:r w:rsidRPr="00860B60">
        <w:rPr>
          <w:vertAlign w:val="superscript"/>
        </w:rPr>
        <w:t>2</w:t>
      </w:r>
      <w:r w:rsidR="00403120">
        <w:rPr>
          <w:vertAlign w:val="superscript"/>
        </w:rPr>
        <w:t>0</w:t>
      </w:r>
      <w:r w:rsidRPr="00860B60">
        <w:rPr>
          <w:vertAlign w:val="superscript"/>
        </w:rPr>
        <w:t>,</w:t>
      </w:r>
      <w:r w:rsidR="00403120">
        <w:rPr>
          <w:vertAlign w:val="superscript"/>
        </w:rPr>
        <w:t>29</w:t>
      </w:r>
      <w:r w:rsidRPr="00860B60">
        <w:rPr>
          <w:vertAlign w:val="superscript"/>
        </w:rPr>
        <w:t>,3</w:t>
      </w:r>
      <w:r w:rsidR="00403120">
        <w:rPr>
          <w:vertAlign w:val="superscript"/>
        </w:rPr>
        <w:t>1</w:t>
      </w:r>
      <w:r w:rsidRPr="00860B60">
        <w:rPr>
          <w:vertAlign w:val="superscript"/>
        </w:rPr>
        <w:t>,3</w:t>
      </w:r>
      <w:r w:rsidR="00403120">
        <w:rPr>
          <w:vertAlign w:val="superscript"/>
        </w:rPr>
        <w:t>3</w:t>
      </w:r>
      <w:r w:rsidRPr="00860B60">
        <w:rPr>
          <w:vertAlign w:val="superscript"/>
        </w:rPr>
        <w:t>,</w:t>
      </w:r>
      <w:r w:rsidR="00403120">
        <w:rPr>
          <w:vertAlign w:val="superscript"/>
        </w:rPr>
        <w:t>37</w:t>
      </w:r>
      <w:r w:rsidRPr="00860B60">
        <w:t>, poor mental health (n=6)</w:t>
      </w:r>
      <w:r w:rsidR="00403120">
        <w:rPr>
          <w:vertAlign w:val="superscript"/>
        </w:rPr>
        <w:t>19</w:t>
      </w:r>
      <w:r w:rsidRPr="00860B60">
        <w:rPr>
          <w:vertAlign w:val="superscript"/>
        </w:rPr>
        <w:t>,2</w:t>
      </w:r>
      <w:r w:rsidR="00403120">
        <w:rPr>
          <w:vertAlign w:val="superscript"/>
        </w:rPr>
        <w:t>0</w:t>
      </w:r>
      <w:r w:rsidRPr="00860B60">
        <w:rPr>
          <w:vertAlign w:val="superscript"/>
        </w:rPr>
        <w:t>,2</w:t>
      </w:r>
      <w:r w:rsidR="00403120">
        <w:rPr>
          <w:vertAlign w:val="superscript"/>
        </w:rPr>
        <w:t>3</w:t>
      </w:r>
      <w:r w:rsidRPr="00860B60">
        <w:rPr>
          <w:vertAlign w:val="superscript"/>
        </w:rPr>
        <w:t>,</w:t>
      </w:r>
      <w:r w:rsidR="00403120">
        <w:rPr>
          <w:vertAlign w:val="superscript"/>
        </w:rPr>
        <w:t>29</w:t>
      </w:r>
      <w:r w:rsidRPr="00860B60">
        <w:rPr>
          <w:vertAlign w:val="superscript"/>
        </w:rPr>
        <w:t>,3</w:t>
      </w:r>
      <w:r w:rsidR="00403120">
        <w:rPr>
          <w:vertAlign w:val="superscript"/>
        </w:rPr>
        <w:t>1</w:t>
      </w:r>
      <w:r w:rsidRPr="00860B60">
        <w:rPr>
          <w:vertAlign w:val="superscript"/>
        </w:rPr>
        <w:t>,4</w:t>
      </w:r>
      <w:r w:rsidR="00403120">
        <w:rPr>
          <w:vertAlign w:val="superscript"/>
        </w:rPr>
        <w:t>0</w:t>
      </w:r>
      <w:r w:rsidRPr="00860B60">
        <w:t>,</w:t>
      </w:r>
      <w:r w:rsidRPr="00860B60">
        <w:rPr>
          <w:vertAlign w:val="superscript"/>
        </w:rPr>
        <w:t xml:space="preserve"> </w:t>
      </w:r>
      <w:r w:rsidRPr="00860B60">
        <w:t>sexual abuse/violence (n=3)</w:t>
      </w:r>
      <w:r w:rsidRPr="00860B60">
        <w:rPr>
          <w:vertAlign w:val="superscript"/>
        </w:rPr>
        <w:t>2</w:t>
      </w:r>
      <w:r w:rsidR="00403120">
        <w:rPr>
          <w:vertAlign w:val="superscript"/>
        </w:rPr>
        <w:t>0</w:t>
      </w:r>
      <w:r w:rsidRPr="00860B60">
        <w:rPr>
          <w:vertAlign w:val="superscript"/>
        </w:rPr>
        <w:t>,3</w:t>
      </w:r>
      <w:r w:rsidR="00403120">
        <w:rPr>
          <w:vertAlign w:val="superscript"/>
        </w:rPr>
        <w:t>1</w:t>
      </w:r>
      <w:r w:rsidRPr="00860B60">
        <w:rPr>
          <w:vertAlign w:val="superscript"/>
        </w:rPr>
        <w:t>,</w:t>
      </w:r>
      <w:r w:rsidR="00403120">
        <w:rPr>
          <w:vertAlign w:val="superscript"/>
        </w:rPr>
        <w:t>37</w:t>
      </w:r>
      <w:r w:rsidRPr="00860B60">
        <w:t>, substance use (n=4)</w:t>
      </w:r>
      <w:r w:rsidR="00403120">
        <w:rPr>
          <w:vertAlign w:val="superscript"/>
        </w:rPr>
        <w:t>19</w:t>
      </w:r>
      <w:r w:rsidRPr="00860B60">
        <w:rPr>
          <w:vertAlign w:val="superscript"/>
        </w:rPr>
        <w:t>,2</w:t>
      </w:r>
      <w:r w:rsidR="00403120">
        <w:rPr>
          <w:vertAlign w:val="superscript"/>
        </w:rPr>
        <w:t>4</w:t>
      </w:r>
      <w:r w:rsidRPr="00860B60">
        <w:rPr>
          <w:vertAlign w:val="superscript"/>
        </w:rPr>
        <w:t>,</w:t>
      </w:r>
      <w:r w:rsidR="00403120">
        <w:rPr>
          <w:vertAlign w:val="superscript"/>
        </w:rPr>
        <w:t>26</w:t>
      </w:r>
      <w:r w:rsidRPr="00860B60">
        <w:rPr>
          <w:vertAlign w:val="superscript"/>
        </w:rPr>
        <w:t>,4</w:t>
      </w:r>
      <w:r w:rsidR="00403120">
        <w:rPr>
          <w:vertAlign w:val="superscript"/>
        </w:rPr>
        <w:t>0</w:t>
      </w:r>
      <w:r w:rsidRPr="00860B60">
        <w:t>, transitional housing (n=1)</w:t>
      </w:r>
      <w:r w:rsidR="00403120">
        <w:rPr>
          <w:vertAlign w:val="superscript"/>
        </w:rPr>
        <w:t>26</w:t>
      </w:r>
      <w:r w:rsidRPr="00860B60">
        <w:t>, traumatic brain injury (n=1)</w:t>
      </w:r>
      <w:r w:rsidRPr="00860B60">
        <w:rPr>
          <w:vertAlign w:val="superscript"/>
        </w:rPr>
        <w:t>3</w:t>
      </w:r>
      <w:r w:rsidR="00403120">
        <w:rPr>
          <w:vertAlign w:val="superscript"/>
        </w:rPr>
        <w:t>3</w:t>
      </w:r>
      <w:r w:rsidRPr="00860B60">
        <w:t>,</w:t>
      </w:r>
      <w:r w:rsidRPr="00860B60">
        <w:rPr>
          <w:vertAlign w:val="superscript"/>
        </w:rPr>
        <w:t xml:space="preserve"> </w:t>
      </w:r>
      <w:r w:rsidRPr="00860B60">
        <w:t>and pregnancy (n=1)</w:t>
      </w:r>
      <w:r w:rsidRPr="00860B60">
        <w:rPr>
          <w:vertAlign w:val="superscript"/>
        </w:rPr>
        <w:t>2</w:t>
      </w:r>
      <w:r w:rsidR="00403120">
        <w:rPr>
          <w:vertAlign w:val="superscript"/>
        </w:rPr>
        <w:t>2</w:t>
      </w:r>
      <w:r w:rsidRPr="00860B60">
        <w:t>.</w:t>
      </w:r>
      <w:r w:rsidRPr="00860B60">
        <w:rPr>
          <w:vertAlign w:val="superscript"/>
        </w:rPr>
        <w:t xml:space="preserve"> </w:t>
      </w:r>
      <w:r w:rsidRPr="00860B60">
        <w:t xml:space="preserve"> </w:t>
      </w:r>
    </w:p>
    <w:p w14:paraId="2DCCE983" w14:textId="36968DCC" w:rsidR="00500913" w:rsidRPr="00CA7A2A" w:rsidRDefault="00500913" w:rsidP="00CA7A2A">
      <w:pPr>
        <w:spacing w:line="360" w:lineRule="auto"/>
        <w:ind w:firstLine="720"/>
      </w:pPr>
      <w:r w:rsidRPr="00860B60">
        <w:t xml:space="preserve">Figure </w:t>
      </w:r>
      <w:r w:rsidR="00CA7A2A">
        <w:t>1</w:t>
      </w:r>
      <w:r w:rsidRPr="00860B60">
        <w:t>. Literature Review Publication Risk Factors</w:t>
      </w:r>
      <w:r>
        <w:rPr>
          <w:noProof/>
        </w:rPr>
        <w:drawing>
          <wp:inline distT="0" distB="0" distL="0" distR="0" wp14:anchorId="2BD448DA" wp14:editId="544292A7">
            <wp:extent cx="6316133" cy="4131310"/>
            <wp:effectExtent l="0" t="0" r="8890" b="8890"/>
            <wp:docPr id="1856072897" name="Chart 1">
              <a:extLst xmlns:a="http://schemas.openxmlformats.org/drawingml/2006/main">
                <a:ext uri="{FF2B5EF4-FFF2-40B4-BE49-F238E27FC236}">
                  <a16:creationId xmlns:a16="http://schemas.microsoft.com/office/drawing/2014/main" id="{06FFE16C-4607-1520-1288-A9DA05CEC2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270B27" w14:textId="77777777" w:rsidR="00500913" w:rsidRPr="00D732A9" w:rsidRDefault="00500913" w:rsidP="00500913">
      <w:pPr>
        <w:pStyle w:val="NoSpacing"/>
        <w:spacing w:line="360" w:lineRule="auto"/>
        <w:rPr>
          <w:rFonts w:ascii="Times New Roman" w:hAnsi="Times New Roman" w:cs="Times New Roman"/>
          <w:b/>
          <w:bCs/>
        </w:rPr>
      </w:pPr>
      <w:r w:rsidRPr="00860B60">
        <w:rPr>
          <w:rFonts w:ascii="Times New Roman" w:hAnsi="Times New Roman" w:cs="Times New Roman"/>
          <w:color w:val="000000"/>
        </w:rPr>
        <w:t xml:space="preserve">Data </w:t>
      </w:r>
      <w:r>
        <w:rPr>
          <w:rFonts w:ascii="Times New Roman" w:hAnsi="Times New Roman" w:cs="Times New Roman"/>
          <w:color w:val="000000"/>
        </w:rPr>
        <w:t>sourced</w:t>
      </w:r>
      <w:r w:rsidRPr="00860B60">
        <w:rPr>
          <w:rFonts w:ascii="Times New Roman" w:hAnsi="Times New Roman" w:cs="Times New Roman"/>
          <w:color w:val="000000"/>
        </w:rPr>
        <w:t xml:space="preserve"> from Table 1. Literature Review Data</w:t>
      </w:r>
      <w:r>
        <w:rPr>
          <w:rFonts w:ascii="Times New Roman" w:hAnsi="Times New Roman" w:cs="Times New Roman"/>
          <w:color w:val="000000"/>
        </w:rPr>
        <w:t>.</w:t>
      </w:r>
    </w:p>
    <w:p w14:paraId="0A72C04C" w14:textId="20EDC121" w:rsidR="00500913" w:rsidRDefault="00500913" w:rsidP="00CA7A2A">
      <w:pPr>
        <w:spacing w:line="360" w:lineRule="auto"/>
        <w:ind w:firstLine="720"/>
      </w:pPr>
      <w:r w:rsidRPr="00843865">
        <w:lastRenderedPageBreak/>
        <w:t>Outcomes of youth homelessness were identified within the sample literature and included: alcohol use disorder (n=8)</w:t>
      </w:r>
      <w:r w:rsidR="00BF5E3C">
        <w:rPr>
          <w:vertAlign w:val="superscript"/>
        </w:rPr>
        <w:t>19</w:t>
      </w:r>
      <w:r w:rsidRPr="00843865">
        <w:rPr>
          <w:vertAlign w:val="superscript"/>
        </w:rPr>
        <w:t>,2</w:t>
      </w:r>
      <w:r w:rsidR="00BF5E3C">
        <w:rPr>
          <w:vertAlign w:val="superscript"/>
        </w:rPr>
        <w:t>4</w:t>
      </w:r>
      <w:r w:rsidRPr="00843865">
        <w:rPr>
          <w:vertAlign w:val="superscript"/>
        </w:rPr>
        <w:t>,</w:t>
      </w:r>
      <w:r w:rsidR="00BF5E3C">
        <w:rPr>
          <w:vertAlign w:val="superscript"/>
        </w:rPr>
        <w:t>28</w:t>
      </w:r>
      <w:r w:rsidRPr="00843865">
        <w:rPr>
          <w:vertAlign w:val="superscript"/>
        </w:rPr>
        <w:t>,3</w:t>
      </w:r>
      <w:r w:rsidR="00BF5E3C">
        <w:rPr>
          <w:vertAlign w:val="superscript"/>
        </w:rPr>
        <w:t>0</w:t>
      </w:r>
      <w:r w:rsidRPr="00843865">
        <w:rPr>
          <w:vertAlign w:val="superscript"/>
        </w:rPr>
        <w:t>,3</w:t>
      </w:r>
      <w:r w:rsidR="00BF5E3C">
        <w:rPr>
          <w:vertAlign w:val="superscript"/>
        </w:rPr>
        <w:t>1</w:t>
      </w:r>
      <w:r w:rsidRPr="00843865">
        <w:rPr>
          <w:vertAlign w:val="superscript"/>
        </w:rPr>
        <w:t>,</w:t>
      </w:r>
      <w:r w:rsidR="00BF5E3C">
        <w:rPr>
          <w:vertAlign w:val="superscript"/>
        </w:rPr>
        <w:t>37</w:t>
      </w:r>
      <w:r w:rsidRPr="00843865">
        <w:rPr>
          <w:vertAlign w:val="superscript"/>
        </w:rPr>
        <w:t>,</w:t>
      </w:r>
      <w:r w:rsidR="00BF5E3C">
        <w:rPr>
          <w:vertAlign w:val="superscript"/>
        </w:rPr>
        <w:t>38</w:t>
      </w:r>
      <w:r w:rsidRPr="00843865">
        <w:rPr>
          <w:vertAlign w:val="superscript"/>
        </w:rPr>
        <w:t>,</w:t>
      </w:r>
      <w:r w:rsidR="00BF5E3C">
        <w:rPr>
          <w:vertAlign w:val="superscript"/>
        </w:rPr>
        <w:t>39</w:t>
      </w:r>
      <w:r w:rsidRPr="00843865">
        <w:t>, criminal behavior/judicial interactions (n=1)</w:t>
      </w:r>
      <w:r w:rsidR="00BF5E3C">
        <w:rPr>
          <w:vertAlign w:val="superscript"/>
        </w:rPr>
        <w:t>27</w:t>
      </w:r>
      <w:r w:rsidRPr="00843865">
        <w:t>, employment instability (n=1)</w:t>
      </w:r>
      <w:r w:rsidRPr="00843865">
        <w:rPr>
          <w:vertAlign w:val="superscript"/>
        </w:rPr>
        <w:t>2</w:t>
      </w:r>
      <w:r w:rsidR="00BF5E3C">
        <w:rPr>
          <w:vertAlign w:val="superscript"/>
        </w:rPr>
        <w:t>4</w:t>
      </w:r>
      <w:r w:rsidRPr="00843865">
        <w:t>, financial instability (n=1)</w:t>
      </w:r>
      <w:r w:rsidRPr="00843865">
        <w:rPr>
          <w:vertAlign w:val="superscript"/>
        </w:rPr>
        <w:t>2</w:t>
      </w:r>
      <w:r w:rsidR="00BF5E3C">
        <w:rPr>
          <w:vertAlign w:val="superscript"/>
        </w:rPr>
        <w:t>4</w:t>
      </w:r>
      <w:r w:rsidRPr="00843865">
        <w:t>, high risk sexual behaviors (n=2)</w:t>
      </w:r>
      <w:r w:rsidRPr="00843865">
        <w:rPr>
          <w:vertAlign w:val="superscript"/>
        </w:rPr>
        <w:t>3</w:t>
      </w:r>
      <w:r w:rsidR="00BF5E3C">
        <w:rPr>
          <w:vertAlign w:val="superscript"/>
        </w:rPr>
        <w:t>0</w:t>
      </w:r>
      <w:r w:rsidRPr="00843865">
        <w:rPr>
          <w:vertAlign w:val="superscript"/>
        </w:rPr>
        <w:t>,</w:t>
      </w:r>
      <w:r w:rsidR="00BF5E3C">
        <w:rPr>
          <w:vertAlign w:val="superscript"/>
        </w:rPr>
        <w:t>39</w:t>
      </w:r>
      <w:r w:rsidRPr="00843865">
        <w:t>, increase adult homelessness rate (n=1)</w:t>
      </w:r>
      <w:r w:rsidRPr="00843865">
        <w:rPr>
          <w:vertAlign w:val="superscript"/>
        </w:rPr>
        <w:t>2</w:t>
      </w:r>
      <w:r w:rsidR="00BF5E3C">
        <w:rPr>
          <w:vertAlign w:val="superscript"/>
        </w:rPr>
        <w:t>3</w:t>
      </w:r>
      <w:r w:rsidRPr="00843865">
        <w:t>, lack of meeting basic needs (n=1)</w:t>
      </w:r>
      <w:r w:rsidR="00BF5E3C">
        <w:rPr>
          <w:vertAlign w:val="superscript"/>
        </w:rPr>
        <w:t>19</w:t>
      </w:r>
      <w:r w:rsidRPr="00843865">
        <w:t>, lack of social support (n=5)</w:t>
      </w:r>
      <w:r w:rsidR="00BF5E3C">
        <w:rPr>
          <w:vertAlign w:val="superscript"/>
        </w:rPr>
        <w:t>19</w:t>
      </w:r>
      <w:r w:rsidRPr="00843865">
        <w:rPr>
          <w:vertAlign w:val="superscript"/>
        </w:rPr>
        <w:t>,2</w:t>
      </w:r>
      <w:r w:rsidR="00BF5E3C">
        <w:rPr>
          <w:vertAlign w:val="superscript"/>
        </w:rPr>
        <w:t>2</w:t>
      </w:r>
      <w:r w:rsidRPr="00843865">
        <w:rPr>
          <w:vertAlign w:val="superscript"/>
        </w:rPr>
        <w:t>,</w:t>
      </w:r>
      <w:r w:rsidR="00BF5E3C">
        <w:rPr>
          <w:vertAlign w:val="superscript"/>
        </w:rPr>
        <w:t>27</w:t>
      </w:r>
      <w:r w:rsidRPr="00843865">
        <w:rPr>
          <w:vertAlign w:val="superscript"/>
        </w:rPr>
        <w:t>,</w:t>
      </w:r>
      <w:r w:rsidR="00BF5E3C">
        <w:rPr>
          <w:vertAlign w:val="superscript"/>
        </w:rPr>
        <w:t>29</w:t>
      </w:r>
      <w:r w:rsidRPr="00843865">
        <w:rPr>
          <w:vertAlign w:val="superscript"/>
        </w:rPr>
        <w:t>,</w:t>
      </w:r>
      <w:r w:rsidR="00BF5E3C">
        <w:rPr>
          <w:vertAlign w:val="superscript"/>
        </w:rPr>
        <w:t>38</w:t>
      </w:r>
      <w:r w:rsidRPr="00843865">
        <w:t>, low academic achievement (n=1)</w:t>
      </w:r>
      <w:r w:rsidR="00BF5E3C">
        <w:rPr>
          <w:vertAlign w:val="superscript"/>
        </w:rPr>
        <w:t>27</w:t>
      </w:r>
      <w:r w:rsidRPr="00843865">
        <w:t>, negative stigma (n=1)</w:t>
      </w:r>
      <w:r w:rsidRPr="00843865">
        <w:rPr>
          <w:vertAlign w:val="superscript"/>
        </w:rPr>
        <w:t>2</w:t>
      </w:r>
      <w:r w:rsidR="00BF5E3C">
        <w:rPr>
          <w:vertAlign w:val="superscript"/>
        </w:rPr>
        <w:t>2</w:t>
      </w:r>
      <w:r w:rsidRPr="00843865">
        <w:t>, physical abuse/violence (n=3)</w:t>
      </w:r>
      <w:r w:rsidR="00BF5E3C">
        <w:rPr>
          <w:vertAlign w:val="superscript"/>
        </w:rPr>
        <w:t>27</w:t>
      </w:r>
      <w:r w:rsidRPr="00843865">
        <w:rPr>
          <w:vertAlign w:val="superscript"/>
        </w:rPr>
        <w:t>,3</w:t>
      </w:r>
      <w:r w:rsidR="00BF5E3C">
        <w:rPr>
          <w:vertAlign w:val="superscript"/>
        </w:rPr>
        <w:t>0</w:t>
      </w:r>
      <w:r w:rsidRPr="00843865">
        <w:rPr>
          <w:vertAlign w:val="superscript"/>
        </w:rPr>
        <w:t>,</w:t>
      </w:r>
      <w:r w:rsidR="00BF5E3C">
        <w:rPr>
          <w:vertAlign w:val="superscript"/>
        </w:rPr>
        <w:t>39</w:t>
      </w:r>
      <w:r w:rsidRPr="00843865">
        <w:t>, poor mental health (n=21)</w:t>
      </w:r>
      <w:r w:rsidR="00BF5E3C">
        <w:rPr>
          <w:vertAlign w:val="superscript"/>
        </w:rPr>
        <w:t>19</w:t>
      </w:r>
      <w:r w:rsidRPr="00843865">
        <w:rPr>
          <w:vertAlign w:val="superscript"/>
        </w:rPr>
        <w:t>,2</w:t>
      </w:r>
      <w:r w:rsidR="00BF5E3C">
        <w:rPr>
          <w:vertAlign w:val="superscript"/>
        </w:rPr>
        <w:t>0</w:t>
      </w:r>
      <w:r>
        <w:rPr>
          <w:vertAlign w:val="superscript"/>
        </w:rPr>
        <w:t>-</w:t>
      </w:r>
      <w:r w:rsidRPr="00843865">
        <w:rPr>
          <w:vertAlign w:val="superscript"/>
        </w:rPr>
        <w:t>3</w:t>
      </w:r>
      <w:r w:rsidR="00BF5E3C">
        <w:rPr>
          <w:vertAlign w:val="superscript"/>
        </w:rPr>
        <w:t>0</w:t>
      </w:r>
      <w:r w:rsidRPr="00843865">
        <w:rPr>
          <w:vertAlign w:val="superscript"/>
        </w:rPr>
        <w:t>,3</w:t>
      </w:r>
      <w:r w:rsidR="00BF5E3C">
        <w:rPr>
          <w:vertAlign w:val="superscript"/>
        </w:rPr>
        <w:t>2</w:t>
      </w:r>
      <w:r w:rsidRPr="00843865">
        <w:rPr>
          <w:vertAlign w:val="superscript"/>
        </w:rPr>
        <w:t>,3</w:t>
      </w:r>
      <w:r w:rsidR="00BF5E3C">
        <w:rPr>
          <w:vertAlign w:val="superscript"/>
        </w:rPr>
        <w:t>4</w:t>
      </w:r>
      <w:r>
        <w:rPr>
          <w:vertAlign w:val="superscript"/>
        </w:rPr>
        <w:t>-</w:t>
      </w:r>
      <w:r w:rsidR="00335DFD">
        <w:rPr>
          <w:vertAlign w:val="superscript"/>
        </w:rPr>
        <w:t>3</w:t>
      </w:r>
      <w:r w:rsidR="00BF5E3C">
        <w:rPr>
          <w:vertAlign w:val="superscript"/>
        </w:rPr>
        <w:t>9</w:t>
      </w:r>
      <w:r w:rsidRPr="00843865">
        <w:rPr>
          <w:vertAlign w:val="superscript"/>
        </w:rPr>
        <w:t>,4</w:t>
      </w:r>
      <w:r w:rsidR="00BF5E3C">
        <w:rPr>
          <w:vertAlign w:val="superscript"/>
        </w:rPr>
        <w:t>1</w:t>
      </w:r>
      <w:r w:rsidRPr="00843865">
        <w:rPr>
          <w:vertAlign w:val="superscript"/>
        </w:rPr>
        <w:t>,4</w:t>
      </w:r>
      <w:r w:rsidR="00BF5E3C">
        <w:rPr>
          <w:vertAlign w:val="superscript"/>
        </w:rPr>
        <w:t>2</w:t>
      </w:r>
      <w:r w:rsidRPr="00843865">
        <w:t>, poor physical health (n=5)</w:t>
      </w:r>
      <w:r w:rsidR="00BF5E3C">
        <w:rPr>
          <w:vertAlign w:val="superscript"/>
        </w:rPr>
        <w:t>18</w:t>
      </w:r>
      <w:r w:rsidRPr="00843865">
        <w:rPr>
          <w:vertAlign w:val="superscript"/>
        </w:rPr>
        <w:t>,</w:t>
      </w:r>
      <w:r w:rsidR="00BF5E3C">
        <w:rPr>
          <w:vertAlign w:val="superscript"/>
        </w:rPr>
        <w:t>27</w:t>
      </w:r>
      <w:r w:rsidRPr="00843865">
        <w:rPr>
          <w:vertAlign w:val="superscript"/>
        </w:rPr>
        <w:t>,</w:t>
      </w:r>
      <w:r w:rsidR="00BF5E3C">
        <w:rPr>
          <w:vertAlign w:val="superscript"/>
        </w:rPr>
        <w:t>29</w:t>
      </w:r>
      <w:r w:rsidRPr="00843865">
        <w:rPr>
          <w:vertAlign w:val="superscript"/>
        </w:rPr>
        <w:t>,3</w:t>
      </w:r>
      <w:r w:rsidR="00BF5E3C">
        <w:rPr>
          <w:vertAlign w:val="superscript"/>
        </w:rPr>
        <w:t>4</w:t>
      </w:r>
      <w:r w:rsidRPr="00843865">
        <w:rPr>
          <w:vertAlign w:val="superscript"/>
        </w:rPr>
        <w:t>,</w:t>
      </w:r>
      <w:r w:rsidR="00BF5E3C">
        <w:rPr>
          <w:vertAlign w:val="superscript"/>
        </w:rPr>
        <w:t>39</w:t>
      </w:r>
      <w:r w:rsidRPr="00843865">
        <w:t>, tobacco use disorder (n=6)</w:t>
      </w:r>
      <w:r w:rsidR="00BF5E3C">
        <w:rPr>
          <w:vertAlign w:val="superscript"/>
        </w:rPr>
        <w:t>28</w:t>
      </w:r>
      <w:r w:rsidRPr="00843865">
        <w:rPr>
          <w:vertAlign w:val="superscript"/>
        </w:rPr>
        <w:t>,3</w:t>
      </w:r>
      <w:r w:rsidR="00BF5E3C">
        <w:rPr>
          <w:vertAlign w:val="superscript"/>
        </w:rPr>
        <w:t>1</w:t>
      </w:r>
      <w:r w:rsidRPr="00843865">
        <w:rPr>
          <w:vertAlign w:val="superscript"/>
        </w:rPr>
        <w:t>,3</w:t>
      </w:r>
      <w:r w:rsidR="00BF5E3C">
        <w:rPr>
          <w:vertAlign w:val="superscript"/>
        </w:rPr>
        <w:t>3</w:t>
      </w:r>
      <w:r w:rsidRPr="00843865">
        <w:rPr>
          <w:vertAlign w:val="superscript"/>
        </w:rPr>
        <w:t>,3</w:t>
      </w:r>
      <w:r w:rsidR="00FA3317">
        <w:rPr>
          <w:vertAlign w:val="superscript"/>
        </w:rPr>
        <w:t>5</w:t>
      </w:r>
      <w:r w:rsidRPr="00843865">
        <w:rPr>
          <w:vertAlign w:val="superscript"/>
        </w:rPr>
        <w:t>,</w:t>
      </w:r>
      <w:r w:rsidR="00BF5E3C">
        <w:rPr>
          <w:vertAlign w:val="superscript"/>
        </w:rPr>
        <w:t>39</w:t>
      </w:r>
      <w:r w:rsidRPr="00843865">
        <w:rPr>
          <w:vertAlign w:val="superscript"/>
        </w:rPr>
        <w:t>,4</w:t>
      </w:r>
      <w:r w:rsidR="00BF5E3C">
        <w:rPr>
          <w:vertAlign w:val="superscript"/>
        </w:rPr>
        <w:t>1</w:t>
      </w:r>
      <w:r w:rsidRPr="00843865">
        <w:t>, sexual abuse/violence (n=5)</w:t>
      </w:r>
      <w:r w:rsidR="00FA3317">
        <w:rPr>
          <w:vertAlign w:val="superscript"/>
        </w:rPr>
        <w:t>27</w:t>
      </w:r>
      <w:r w:rsidRPr="00843865">
        <w:rPr>
          <w:vertAlign w:val="superscript"/>
        </w:rPr>
        <w:t>,</w:t>
      </w:r>
      <w:r w:rsidR="00FA3317">
        <w:rPr>
          <w:vertAlign w:val="superscript"/>
        </w:rPr>
        <w:t>29</w:t>
      </w:r>
      <w:r w:rsidRPr="00843865">
        <w:rPr>
          <w:vertAlign w:val="superscript"/>
        </w:rPr>
        <w:t>,3</w:t>
      </w:r>
      <w:r w:rsidR="00FA3317">
        <w:rPr>
          <w:vertAlign w:val="superscript"/>
        </w:rPr>
        <w:t>0</w:t>
      </w:r>
      <w:r w:rsidRPr="00843865">
        <w:rPr>
          <w:vertAlign w:val="superscript"/>
        </w:rPr>
        <w:t>,</w:t>
      </w:r>
      <w:r w:rsidR="00FA3317">
        <w:rPr>
          <w:vertAlign w:val="superscript"/>
        </w:rPr>
        <w:t>37</w:t>
      </w:r>
      <w:r w:rsidRPr="00843865">
        <w:rPr>
          <w:vertAlign w:val="superscript"/>
        </w:rPr>
        <w:t>,</w:t>
      </w:r>
      <w:r w:rsidR="00FA3317">
        <w:rPr>
          <w:vertAlign w:val="superscript"/>
        </w:rPr>
        <w:t>39</w:t>
      </w:r>
      <w:r w:rsidRPr="00843865">
        <w:t>, sexual transmitted diseases (n=5)</w:t>
      </w:r>
      <w:r w:rsidR="00FA3317">
        <w:rPr>
          <w:vertAlign w:val="superscript"/>
        </w:rPr>
        <w:t>26</w:t>
      </w:r>
      <w:r w:rsidRPr="00843865">
        <w:rPr>
          <w:vertAlign w:val="superscript"/>
        </w:rPr>
        <w:t>,3</w:t>
      </w:r>
      <w:r w:rsidR="00FA3317">
        <w:rPr>
          <w:vertAlign w:val="superscript"/>
        </w:rPr>
        <w:t>0</w:t>
      </w:r>
      <w:r w:rsidRPr="00843865">
        <w:rPr>
          <w:vertAlign w:val="superscript"/>
        </w:rPr>
        <w:t>,3</w:t>
      </w:r>
      <w:r w:rsidR="00FA3317">
        <w:rPr>
          <w:vertAlign w:val="superscript"/>
        </w:rPr>
        <w:t>4</w:t>
      </w:r>
      <w:r w:rsidRPr="00843865">
        <w:rPr>
          <w:vertAlign w:val="superscript"/>
        </w:rPr>
        <w:t>,</w:t>
      </w:r>
      <w:r w:rsidR="00FA3317">
        <w:rPr>
          <w:vertAlign w:val="superscript"/>
        </w:rPr>
        <w:t>37</w:t>
      </w:r>
      <w:r w:rsidRPr="00843865">
        <w:rPr>
          <w:vertAlign w:val="superscript"/>
        </w:rPr>
        <w:t>,</w:t>
      </w:r>
      <w:r w:rsidR="00FA3317">
        <w:rPr>
          <w:vertAlign w:val="superscript"/>
        </w:rPr>
        <w:t>39</w:t>
      </w:r>
      <w:r w:rsidRPr="00843865">
        <w:t>, substance use disorder (n=13)</w:t>
      </w:r>
      <w:r w:rsidR="00FA3317">
        <w:rPr>
          <w:vertAlign w:val="superscript"/>
        </w:rPr>
        <w:t>19</w:t>
      </w:r>
      <w:r w:rsidRPr="00843865">
        <w:rPr>
          <w:vertAlign w:val="superscript"/>
        </w:rPr>
        <w:t>,2</w:t>
      </w:r>
      <w:r w:rsidR="00FA3317">
        <w:rPr>
          <w:vertAlign w:val="superscript"/>
        </w:rPr>
        <w:t>4</w:t>
      </w:r>
      <w:r w:rsidRPr="00843865">
        <w:rPr>
          <w:vertAlign w:val="superscript"/>
        </w:rPr>
        <w:t>,</w:t>
      </w:r>
      <w:r w:rsidR="00FA3317">
        <w:rPr>
          <w:vertAlign w:val="superscript"/>
        </w:rPr>
        <w:t>26</w:t>
      </w:r>
      <w:r>
        <w:rPr>
          <w:vertAlign w:val="superscript"/>
        </w:rPr>
        <w:t>-</w:t>
      </w:r>
      <w:r w:rsidRPr="00843865">
        <w:rPr>
          <w:vertAlign w:val="superscript"/>
        </w:rPr>
        <w:t>3</w:t>
      </w:r>
      <w:r w:rsidR="00FA3317">
        <w:rPr>
          <w:vertAlign w:val="superscript"/>
        </w:rPr>
        <w:t>1</w:t>
      </w:r>
      <w:r w:rsidRPr="00843865">
        <w:rPr>
          <w:vertAlign w:val="superscript"/>
        </w:rPr>
        <w:t>,3</w:t>
      </w:r>
      <w:r w:rsidR="00FA3317">
        <w:rPr>
          <w:vertAlign w:val="superscript"/>
        </w:rPr>
        <w:t>3</w:t>
      </w:r>
      <w:r w:rsidRPr="00843865">
        <w:rPr>
          <w:vertAlign w:val="superscript"/>
        </w:rPr>
        <w:t>,</w:t>
      </w:r>
      <w:r w:rsidR="00335DFD">
        <w:rPr>
          <w:vertAlign w:val="superscript"/>
        </w:rPr>
        <w:t>37</w:t>
      </w:r>
      <w:r>
        <w:rPr>
          <w:vertAlign w:val="superscript"/>
        </w:rPr>
        <w:t>-</w:t>
      </w:r>
      <w:r w:rsidR="00FA3317">
        <w:rPr>
          <w:vertAlign w:val="superscript"/>
        </w:rPr>
        <w:t>39</w:t>
      </w:r>
      <w:r w:rsidRPr="00843865">
        <w:rPr>
          <w:vertAlign w:val="superscript"/>
        </w:rPr>
        <w:t>,4</w:t>
      </w:r>
      <w:r w:rsidR="00FA3317">
        <w:rPr>
          <w:vertAlign w:val="superscript"/>
        </w:rPr>
        <w:t>1</w:t>
      </w:r>
      <w:r w:rsidRPr="00843865">
        <w:t xml:space="preserve">.  </w:t>
      </w:r>
    </w:p>
    <w:p w14:paraId="0F901805" w14:textId="77777777" w:rsidR="00CA7A2A" w:rsidRDefault="00CA7A2A" w:rsidP="00500913">
      <w:pPr>
        <w:spacing w:line="360" w:lineRule="auto"/>
      </w:pPr>
    </w:p>
    <w:p w14:paraId="6F47D429" w14:textId="720CB537" w:rsidR="00500913" w:rsidRPr="00843865" w:rsidRDefault="00500913" w:rsidP="00500913">
      <w:pPr>
        <w:spacing w:line="360" w:lineRule="auto"/>
      </w:pPr>
      <w:r>
        <w:t xml:space="preserve">Figure </w:t>
      </w:r>
      <w:r w:rsidR="00CA7A2A">
        <w:t>2</w:t>
      </w:r>
      <w:r>
        <w:t>. Literature Review Publication Outcomes</w:t>
      </w:r>
    </w:p>
    <w:p w14:paraId="31A31DB5" w14:textId="77777777" w:rsidR="00500913" w:rsidRPr="00843865" w:rsidRDefault="00500913" w:rsidP="00500913">
      <w:pPr>
        <w:spacing w:line="360" w:lineRule="auto"/>
      </w:pPr>
      <w:r>
        <w:rPr>
          <w:noProof/>
          <w14:ligatures w14:val="standardContextual"/>
        </w:rPr>
        <w:drawing>
          <wp:inline distT="0" distB="0" distL="0" distR="0" wp14:anchorId="13FC888B" wp14:editId="5A0EFEE2">
            <wp:extent cx="5808133" cy="3242733"/>
            <wp:effectExtent l="0" t="0" r="8890" b="8890"/>
            <wp:docPr id="1712088208" name="Chart 1">
              <a:extLst xmlns:a="http://schemas.openxmlformats.org/drawingml/2006/main">
                <a:ext uri="{FF2B5EF4-FFF2-40B4-BE49-F238E27FC236}">
                  <a16:creationId xmlns:a16="http://schemas.microsoft.com/office/drawing/2014/main" id="{A30B3AA3-B242-0615-8800-243E0601AE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9B7897C" w14:textId="77777777" w:rsidR="00500913" w:rsidRPr="00860B60" w:rsidRDefault="00500913" w:rsidP="00500913">
      <w:pPr>
        <w:pStyle w:val="NoSpacing"/>
        <w:spacing w:line="360" w:lineRule="auto"/>
        <w:rPr>
          <w:rFonts w:ascii="Times New Roman" w:hAnsi="Times New Roman" w:cs="Times New Roman"/>
          <w:b/>
          <w:bCs/>
        </w:rPr>
      </w:pPr>
      <w:r w:rsidRPr="00860B60">
        <w:rPr>
          <w:rFonts w:ascii="Times New Roman" w:hAnsi="Times New Roman" w:cs="Times New Roman"/>
          <w:color w:val="000000"/>
        </w:rPr>
        <w:t xml:space="preserve">Data </w:t>
      </w:r>
      <w:r>
        <w:rPr>
          <w:rFonts w:ascii="Times New Roman" w:hAnsi="Times New Roman" w:cs="Times New Roman"/>
          <w:color w:val="000000"/>
        </w:rPr>
        <w:t>sourced</w:t>
      </w:r>
      <w:r w:rsidRPr="00860B60">
        <w:rPr>
          <w:rFonts w:ascii="Times New Roman" w:hAnsi="Times New Roman" w:cs="Times New Roman"/>
          <w:color w:val="000000"/>
        </w:rPr>
        <w:t xml:space="preserve"> from Table 1. Literature Review Data</w:t>
      </w:r>
      <w:r>
        <w:rPr>
          <w:rFonts w:ascii="Times New Roman" w:hAnsi="Times New Roman" w:cs="Times New Roman"/>
          <w:color w:val="000000"/>
        </w:rPr>
        <w:t>.</w:t>
      </w:r>
    </w:p>
    <w:p w14:paraId="712246FD" w14:textId="77777777" w:rsidR="00500913" w:rsidRDefault="00500913" w:rsidP="00500913">
      <w:pPr>
        <w:spacing w:line="360" w:lineRule="auto"/>
      </w:pPr>
    </w:p>
    <w:p w14:paraId="4B0A5C29" w14:textId="77777777" w:rsidR="00500913" w:rsidRDefault="00500913" w:rsidP="00500913">
      <w:r>
        <w:br w:type="page"/>
      </w:r>
    </w:p>
    <w:p w14:paraId="677E5B4C" w14:textId="713D54BE" w:rsidR="00500913" w:rsidRDefault="00500913" w:rsidP="00500913">
      <w:pPr>
        <w:spacing w:line="360" w:lineRule="auto"/>
        <w:ind w:firstLine="720"/>
      </w:pPr>
      <w:r w:rsidRPr="00843865">
        <w:lastRenderedPageBreak/>
        <w:t xml:space="preserve">The </w:t>
      </w:r>
      <w:r>
        <w:t>sample</w:t>
      </w:r>
      <w:r w:rsidRPr="00843865">
        <w:t xml:space="preserve"> </w:t>
      </w:r>
      <w:r>
        <w:t>of publications</w:t>
      </w:r>
      <w:r w:rsidRPr="00843865">
        <w:t xml:space="preserve"> yielded 2 </w:t>
      </w:r>
      <w:r>
        <w:t>sources</w:t>
      </w:r>
      <w:r w:rsidRPr="00843865">
        <w:t xml:space="preserve"> that addressed</w:t>
      </w:r>
      <w:r>
        <w:t xml:space="preserve"> community-based</w:t>
      </w:r>
      <w:r w:rsidRPr="00843865">
        <w:t xml:space="preserve"> interventions dedicated to </w:t>
      </w:r>
      <w:r>
        <w:t>YEH</w:t>
      </w:r>
      <w:r w:rsidRPr="00843865">
        <w:rPr>
          <w:vertAlign w:val="superscript"/>
        </w:rPr>
        <w:t>2</w:t>
      </w:r>
      <w:r w:rsidR="005A13F7">
        <w:rPr>
          <w:vertAlign w:val="superscript"/>
        </w:rPr>
        <w:t>0</w:t>
      </w:r>
      <w:r w:rsidRPr="00843865">
        <w:rPr>
          <w:vertAlign w:val="superscript"/>
        </w:rPr>
        <w:t>,4</w:t>
      </w:r>
      <w:r w:rsidR="005A13F7">
        <w:rPr>
          <w:vertAlign w:val="superscript"/>
        </w:rPr>
        <w:t>2</w:t>
      </w:r>
      <w:proofErr w:type="gramStart"/>
      <w:r w:rsidRPr="00843865">
        <w:t>.  Both</w:t>
      </w:r>
      <w:proofErr w:type="gramEnd"/>
      <w:r w:rsidRPr="00843865">
        <w:t xml:space="preserve"> studies were focused on addressing mental health issues.  The first study examined the use of </w:t>
      </w:r>
      <w:proofErr w:type="gramStart"/>
      <w:r w:rsidRPr="00843865">
        <w:t>phone based</w:t>
      </w:r>
      <w:proofErr w:type="gramEnd"/>
      <w:r w:rsidRPr="00843865">
        <w:t xml:space="preserve"> mental health resources amongst youth experiencing homelessness between the ages of 16 to 25</w:t>
      </w:r>
      <w:r w:rsidRPr="00843865">
        <w:rPr>
          <w:vertAlign w:val="superscript"/>
        </w:rPr>
        <w:t>2</w:t>
      </w:r>
      <w:r w:rsidR="005A13F7">
        <w:rPr>
          <w:vertAlign w:val="superscript"/>
        </w:rPr>
        <w:t>0</w:t>
      </w:r>
      <w:r w:rsidRPr="00843865">
        <w:t xml:space="preserve">.  The second study </w:t>
      </w:r>
      <w:proofErr w:type="gramStart"/>
      <w:r w:rsidRPr="00843865">
        <w:t>examine</w:t>
      </w:r>
      <w:proofErr w:type="gramEnd"/>
      <w:r w:rsidRPr="00843865">
        <w:t xml:space="preserve"> the impact of cognitive therapy on suicidal ideation amongst youth between the ages of 18 to 24 years</w:t>
      </w:r>
      <w:r w:rsidRPr="00843865">
        <w:rPr>
          <w:vertAlign w:val="superscript"/>
        </w:rPr>
        <w:t>4</w:t>
      </w:r>
      <w:r w:rsidR="00335DFD">
        <w:rPr>
          <w:vertAlign w:val="superscript"/>
        </w:rPr>
        <w:t>2</w:t>
      </w:r>
      <w:r w:rsidRPr="00843865">
        <w:t>.</w:t>
      </w:r>
    </w:p>
    <w:p w14:paraId="75815A9B" w14:textId="65039BC0" w:rsidR="00500913" w:rsidRPr="00D732A9" w:rsidRDefault="00500913" w:rsidP="00500913">
      <w:pPr>
        <w:spacing w:line="360" w:lineRule="auto"/>
        <w:ind w:firstLine="720"/>
      </w:pPr>
      <w:r w:rsidRPr="00D449C4">
        <w:rPr>
          <w:rFonts w:asciiTheme="majorHAnsi" w:hAnsiTheme="majorHAnsi" w:cstheme="majorHAnsi"/>
        </w:rPr>
        <w:t>The content analysis of youth.gov found 20 governmen</w:t>
      </w:r>
      <w:r>
        <w:rPr>
          <w:rFonts w:asciiTheme="majorHAnsi" w:hAnsiTheme="majorHAnsi" w:cstheme="majorHAnsi"/>
        </w:rPr>
        <w:t>t</w:t>
      </w:r>
      <w:r w:rsidRPr="00D449C4">
        <w:rPr>
          <w:rFonts w:asciiTheme="majorHAnsi" w:hAnsiTheme="majorHAnsi" w:cstheme="majorHAnsi"/>
        </w:rPr>
        <w:t xml:space="preserve"> programs</w:t>
      </w:r>
      <w:r>
        <w:rPr>
          <w:rFonts w:asciiTheme="majorHAnsi" w:hAnsiTheme="majorHAnsi" w:cstheme="majorHAnsi"/>
        </w:rPr>
        <w:t xml:space="preserve"> and policies</w:t>
      </w:r>
      <w:r w:rsidRPr="00D449C4">
        <w:rPr>
          <w:rFonts w:asciiTheme="majorHAnsi" w:hAnsiTheme="majorHAnsi" w:cstheme="majorHAnsi"/>
        </w:rPr>
        <w:t>.  Analysis was conducted to evaluate for focus(es) of the programs utilizing 4 thematic (financial support, housing, nutritional support, and supportive services) clusters resulting in the following: financial support (n=3)</w:t>
      </w:r>
      <w:r w:rsidRPr="00D449C4">
        <w:rPr>
          <w:rFonts w:asciiTheme="majorHAnsi" w:hAnsiTheme="majorHAnsi" w:cstheme="majorHAnsi"/>
          <w:vertAlign w:val="superscript"/>
        </w:rPr>
        <w:t>5</w:t>
      </w:r>
      <w:r w:rsidR="005A13F7">
        <w:rPr>
          <w:rFonts w:asciiTheme="majorHAnsi" w:hAnsiTheme="majorHAnsi" w:cstheme="majorHAnsi"/>
          <w:vertAlign w:val="superscript"/>
        </w:rPr>
        <w:t>1</w:t>
      </w:r>
      <w:r w:rsidRPr="00D449C4">
        <w:rPr>
          <w:rFonts w:asciiTheme="majorHAnsi" w:hAnsiTheme="majorHAnsi" w:cstheme="majorHAnsi"/>
          <w:vertAlign w:val="superscript"/>
        </w:rPr>
        <w:t>,5</w:t>
      </w:r>
      <w:r w:rsidR="005A13F7">
        <w:rPr>
          <w:rFonts w:asciiTheme="majorHAnsi" w:hAnsiTheme="majorHAnsi" w:cstheme="majorHAnsi"/>
          <w:vertAlign w:val="superscript"/>
        </w:rPr>
        <w:t>4</w:t>
      </w:r>
      <w:r w:rsidRPr="00D449C4">
        <w:rPr>
          <w:rFonts w:asciiTheme="majorHAnsi" w:hAnsiTheme="majorHAnsi" w:cstheme="majorHAnsi"/>
          <w:vertAlign w:val="superscript"/>
        </w:rPr>
        <w:t>,6</w:t>
      </w:r>
      <w:r w:rsidR="00335DFD">
        <w:rPr>
          <w:rFonts w:asciiTheme="majorHAnsi" w:hAnsiTheme="majorHAnsi" w:cstheme="majorHAnsi"/>
          <w:vertAlign w:val="superscript"/>
        </w:rPr>
        <w:t>2</w:t>
      </w:r>
      <w:r w:rsidRPr="00D449C4">
        <w:rPr>
          <w:rFonts w:asciiTheme="majorHAnsi" w:hAnsiTheme="majorHAnsi" w:cstheme="majorHAnsi"/>
        </w:rPr>
        <w:t>, housing (n=7)</w:t>
      </w:r>
      <w:r w:rsidRPr="00D449C4">
        <w:rPr>
          <w:rFonts w:asciiTheme="majorHAnsi" w:hAnsiTheme="majorHAnsi" w:cstheme="majorHAnsi"/>
          <w:vertAlign w:val="superscript"/>
        </w:rPr>
        <w:t>4</w:t>
      </w:r>
      <w:r w:rsidR="00335DFD">
        <w:rPr>
          <w:rFonts w:asciiTheme="majorHAnsi" w:hAnsiTheme="majorHAnsi" w:cstheme="majorHAnsi"/>
          <w:vertAlign w:val="superscript"/>
        </w:rPr>
        <w:t>3</w:t>
      </w:r>
      <w:r>
        <w:rPr>
          <w:rFonts w:asciiTheme="majorHAnsi" w:hAnsiTheme="majorHAnsi" w:cstheme="majorHAnsi"/>
          <w:vertAlign w:val="superscript"/>
        </w:rPr>
        <w:t>-</w:t>
      </w:r>
      <w:r w:rsidR="00335DFD">
        <w:rPr>
          <w:rFonts w:asciiTheme="majorHAnsi" w:hAnsiTheme="majorHAnsi" w:cstheme="majorHAnsi"/>
          <w:vertAlign w:val="superscript"/>
        </w:rPr>
        <w:t>46</w:t>
      </w:r>
      <w:r w:rsidRPr="00D449C4">
        <w:rPr>
          <w:rFonts w:asciiTheme="majorHAnsi" w:hAnsiTheme="majorHAnsi" w:cstheme="majorHAnsi"/>
          <w:vertAlign w:val="superscript"/>
        </w:rPr>
        <w:t>,5</w:t>
      </w:r>
      <w:r w:rsidR="00335DFD">
        <w:rPr>
          <w:rFonts w:asciiTheme="majorHAnsi" w:hAnsiTheme="majorHAnsi" w:cstheme="majorHAnsi"/>
          <w:vertAlign w:val="superscript"/>
        </w:rPr>
        <w:t>0</w:t>
      </w:r>
      <w:r>
        <w:rPr>
          <w:rFonts w:asciiTheme="majorHAnsi" w:hAnsiTheme="majorHAnsi" w:cstheme="majorHAnsi"/>
          <w:vertAlign w:val="superscript"/>
        </w:rPr>
        <w:t>-</w:t>
      </w:r>
      <w:r w:rsidRPr="00D449C4">
        <w:rPr>
          <w:rFonts w:asciiTheme="majorHAnsi" w:hAnsiTheme="majorHAnsi" w:cstheme="majorHAnsi"/>
          <w:vertAlign w:val="superscript"/>
        </w:rPr>
        <w:t>5</w:t>
      </w:r>
      <w:r w:rsidR="00335DFD">
        <w:rPr>
          <w:rFonts w:asciiTheme="majorHAnsi" w:hAnsiTheme="majorHAnsi" w:cstheme="majorHAnsi"/>
          <w:vertAlign w:val="superscript"/>
        </w:rPr>
        <w:t>2</w:t>
      </w:r>
      <w:r w:rsidRPr="00D449C4">
        <w:rPr>
          <w:rFonts w:asciiTheme="majorHAnsi" w:hAnsiTheme="majorHAnsi" w:cstheme="majorHAnsi"/>
        </w:rPr>
        <w:t>, nutritional support (n=10)</w:t>
      </w:r>
      <w:r w:rsidRPr="00D449C4">
        <w:rPr>
          <w:rFonts w:asciiTheme="majorHAnsi" w:hAnsiTheme="majorHAnsi" w:cstheme="majorHAnsi"/>
          <w:vertAlign w:val="superscript"/>
        </w:rPr>
        <w:t>4</w:t>
      </w:r>
      <w:r w:rsidR="00335DFD">
        <w:rPr>
          <w:rFonts w:asciiTheme="majorHAnsi" w:hAnsiTheme="majorHAnsi" w:cstheme="majorHAnsi"/>
          <w:vertAlign w:val="superscript"/>
        </w:rPr>
        <w:t>3</w:t>
      </w:r>
      <w:r w:rsidRPr="00D449C4">
        <w:rPr>
          <w:rFonts w:asciiTheme="majorHAnsi" w:hAnsiTheme="majorHAnsi" w:cstheme="majorHAnsi"/>
          <w:vertAlign w:val="superscript"/>
        </w:rPr>
        <w:t>.4</w:t>
      </w:r>
      <w:r w:rsidR="00335DFD">
        <w:rPr>
          <w:rFonts w:asciiTheme="majorHAnsi" w:hAnsiTheme="majorHAnsi" w:cstheme="majorHAnsi"/>
          <w:vertAlign w:val="superscript"/>
        </w:rPr>
        <w:t>4</w:t>
      </w:r>
      <w:r w:rsidRPr="00D449C4">
        <w:rPr>
          <w:rFonts w:asciiTheme="majorHAnsi" w:hAnsiTheme="majorHAnsi" w:cstheme="majorHAnsi"/>
          <w:vertAlign w:val="superscript"/>
        </w:rPr>
        <w:t>,</w:t>
      </w:r>
      <w:r w:rsidR="00335DFD">
        <w:rPr>
          <w:rFonts w:asciiTheme="majorHAnsi" w:hAnsiTheme="majorHAnsi" w:cstheme="majorHAnsi"/>
          <w:vertAlign w:val="superscript"/>
        </w:rPr>
        <w:t>46</w:t>
      </w:r>
      <w:r w:rsidRPr="00D449C4">
        <w:rPr>
          <w:rFonts w:asciiTheme="majorHAnsi" w:hAnsiTheme="majorHAnsi" w:cstheme="majorHAnsi"/>
          <w:vertAlign w:val="superscript"/>
        </w:rPr>
        <w:t>,5</w:t>
      </w:r>
      <w:r w:rsidR="00335DFD">
        <w:rPr>
          <w:rFonts w:asciiTheme="majorHAnsi" w:hAnsiTheme="majorHAnsi" w:cstheme="majorHAnsi"/>
          <w:vertAlign w:val="superscript"/>
        </w:rPr>
        <w:t>1</w:t>
      </w:r>
      <w:r w:rsidRPr="00D449C4">
        <w:rPr>
          <w:rFonts w:asciiTheme="majorHAnsi" w:hAnsiTheme="majorHAnsi" w:cstheme="majorHAnsi"/>
          <w:vertAlign w:val="superscript"/>
        </w:rPr>
        <w:t>,</w:t>
      </w:r>
      <w:r w:rsidR="00335DFD">
        <w:rPr>
          <w:rFonts w:asciiTheme="majorHAnsi" w:hAnsiTheme="majorHAnsi" w:cstheme="majorHAnsi"/>
          <w:vertAlign w:val="superscript"/>
        </w:rPr>
        <w:t>56</w:t>
      </w:r>
      <w:r>
        <w:rPr>
          <w:rFonts w:asciiTheme="majorHAnsi" w:hAnsiTheme="majorHAnsi" w:cstheme="majorHAnsi"/>
          <w:vertAlign w:val="superscript"/>
        </w:rPr>
        <w:t>-</w:t>
      </w:r>
      <w:r w:rsidRPr="00D449C4">
        <w:rPr>
          <w:rFonts w:asciiTheme="majorHAnsi" w:hAnsiTheme="majorHAnsi" w:cstheme="majorHAnsi"/>
          <w:vertAlign w:val="superscript"/>
        </w:rPr>
        <w:t>6</w:t>
      </w:r>
      <w:r w:rsidR="00335DFD">
        <w:rPr>
          <w:rFonts w:asciiTheme="majorHAnsi" w:hAnsiTheme="majorHAnsi" w:cstheme="majorHAnsi"/>
          <w:vertAlign w:val="superscript"/>
        </w:rPr>
        <w:t>1</w:t>
      </w:r>
      <w:r w:rsidRPr="00D449C4">
        <w:rPr>
          <w:rFonts w:asciiTheme="majorHAnsi" w:hAnsiTheme="majorHAnsi" w:cstheme="majorHAnsi"/>
        </w:rPr>
        <w:t>, and supportive services (n=13)</w:t>
      </w:r>
      <w:r w:rsidRPr="00D449C4">
        <w:rPr>
          <w:rFonts w:asciiTheme="majorHAnsi" w:hAnsiTheme="majorHAnsi" w:cstheme="majorHAnsi"/>
          <w:vertAlign w:val="superscript"/>
        </w:rPr>
        <w:t>4</w:t>
      </w:r>
      <w:r w:rsidR="00335DFD">
        <w:rPr>
          <w:rFonts w:asciiTheme="majorHAnsi" w:hAnsiTheme="majorHAnsi" w:cstheme="majorHAnsi"/>
          <w:vertAlign w:val="superscript"/>
        </w:rPr>
        <w:t>3</w:t>
      </w:r>
      <w:r>
        <w:rPr>
          <w:rFonts w:asciiTheme="majorHAnsi" w:hAnsiTheme="majorHAnsi" w:cstheme="majorHAnsi"/>
          <w:vertAlign w:val="superscript"/>
        </w:rPr>
        <w:t>-</w:t>
      </w:r>
      <w:r w:rsidR="00335DFD">
        <w:rPr>
          <w:rFonts w:asciiTheme="majorHAnsi" w:hAnsiTheme="majorHAnsi" w:cstheme="majorHAnsi"/>
          <w:vertAlign w:val="superscript"/>
        </w:rPr>
        <w:t>49</w:t>
      </w:r>
      <w:r w:rsidRPr="00D449C4">
        <w:rPr>
          <w:rFonts w:asciiTheme="majorHAnsi" w:hAnsiTheme="majorHAnsi" w:cstheme="majorHAnsi"/>
          <w:vertAlign w:val="superscript"/>
        </w:rPr>
        <w:t>,5</w:t>
      </w:r>
      <w:r w:rsidR="00335DFD">
        <w:rPr>
          <w:rFonts w:asciiTheme="majorHAnsi" w:hAnsiTheme="majorHAnsi" w:cstheme="majorHAnsi"/>
          <w:vertAlign w:val="superscript"/>
        </w:rPr>
        <w:t>1</w:t>
      </w:r>
      <w:r>
        <w:rPr>
          <w:rFonts w:asciiTheme="majorHAnsi" w:hAnsiTheme="majorHAnsi" w:cstheme="majorHAnsi"/>
          <w:vertAlign w:val="superscript"/>
        </w:rPr>
        <w:t>-</w:t>
      </w:r>
      <w:r w:rsidRPr="00D449C4">
        <w:rPr>
          <w:rFonts w:asciiTheme="majorHAnsi" w:hAnsiTheme="majorHAnsi" w:cstheme="majorHAnsi"/>
          <w:vertAlign w:val="superscript"/>
        </w:rPr>
        <w:t>5</w:t>
      </w:r>
      <w:r w:rsidR="00335DFD">
        <w:rPr>
          <w:rFonts w:asciiTheme="majorHAnsi" w:hAnsiTheme="majorHAnsi" w:cstheme="majorHAnsi"/>
          <w:vertAlign w:val="superscript"/>
        </w:rPr>
        <w:t>3</w:t>
      </w:r>
      <w:r w:rsidRPr="00D449C4">
        <w:rPr>
          <w:rFonts w:asciiTheme="majorHAnsi" w:hAnsiTheme="majorHAnsi" w:cstheme="majorHAnsi"/>
          <w:vertAlign w:val="superscript"/>
        </w:rPr>
        <w:t>,5</w:t>
      </w:r>
      <w:r w:rsidR="00335DFD">
        <w:rPr>
          <w:rFonts w:asciiTheme="majorHAnsi" w:hAnsiTheme="majorHAnsi" w:cstheme="majorHAnsi"/>
          <w:vertAlign w:val="superscript"/>
        </w:rPr>
        <w:t>5</w:t>
      </w:r>
      <w:r w:rsidRPr="00D449C4">
        <w:rPr>
          <w:rFonts w:asciiTheme="majorHAnsi" w:hAnsiTheme="majorHAnsi" w:cstheme="majorHAnsi"/>
          <w:vertAlign w:val="superscript"/>
        </w:rPr>
        <w:t>,</w:t>
      </w:r>
      <w:r w:rsidR="00335DFD">
        <w:rPr>
          <w:rFonts w:asciiTheme="majorHAnsi" w:hAnsiTheme="majorHAnsi" w:cstheme="majorHAnsi"/>
          <w:vertAlign w:val="superscript"/>
        </w:rPr>
        <w:t>57</w:t>
      </w:r>
      <w:r w:rsidRPr="00D449C4">
        <w:rPr>
          <w:rFonts w:asciiTheme="majorHAnsi" w:hAnsiTheme="majorHAnsi" w:cstheme="majorHAnsi"/>
          <w:vertAlign w:val="superscript"/>
        </w:rPr>
        <w:t>.6</w:t>
      </w:r>
      <w:r w:rsidR="00335DFD">
        <w:rPr>
          <w:rFonts w:asciiTheme="majorHAnsi" w:hAnsiTheme="majorHAnsi" w:cstheme="majorHAnsi"/>
          <w:vertAlign w:val="superscript"/>
        </w:rPr>
        <w:t>2</w:t>
      </w:r>
      <w:r w:rsidRPr="00D449C4">
        <w:rPr>
          <w:rFonts w:asciiTheme="majorHAnsi" w:hAnsiTheme="majorHAnsi" w:cstheme="majorHAnsi"/>
        </w:rPr>
        <w:t xml:space="preserve">.  </w:t>
      </w:r>
    </w:p>
    <w:p w14:paraId="7E7DF101" w14:textId="77777777" w:rsidR="00500913" w:rsidRDefault="00500913" w:rsidP="00500913">
      <w:pPr>
        <w:spacing w:line="360" w:lineRule="auto"/>
        <w:rPr>
          <w:rFonts w:asciiTheme="majorHAnsi" w:hAnsiTheme="majorHAnsi" w:cstheme="majorHAnsi"/>
        </w:rPr>
      </w:pPr>
    </w:p>
    <w:p w14:paraId="4093A794" w14:textId="0E8F82CC" w:rsidR="00500913" w:rsidRPr="00D732A9" w:rsidRDefault="00500913" w:rsidP="00500913">
      <w:pPr>
        <w:spacing w:line="360" w:lineRule="auto"/>
      </w:pPr>
      <w:r w:rsidRPr="00D449C4">
        <w:rPr>
          <w:rFonts w:asciiTheme="majorHAnsi" w:hAnsiTheme="majorHAnsi" w:cstheme="majorHAnsi"/>
        </w:rPr>
        <w:t xml:space="preserve"> </w:t>
      </w:r>
      <w:r>
        <w:t xml:space="preserve">Figure </w:t>
      </w:r>
      <w:r w:rsidR="00CA7A2A">
        <w:t>3</w:t>
      </w:r>
      <w:r>
        <w:t>. Government Policies/Program’s Focus Count per Theme</w:t>
      </w:r>
    </w:p>
    <w:p w14:paraId="7B90A81D" w14:textId="77777777" w:rsidR="00500913" w:rsidRDefault="00500913" w:rsidP="00500913">
      <w:pPr>
        <w:rPr>
          <w:rFonts w:asciiTheme="majorHAnsi" w:hAnsiTheme="majorHAnsi" w:cstheme="majorHAnsi"/>
        </w:rPr>
      </w:pPr>
      <w:r>
        <w:rPr>
          <w:noProof/>
          <w14:ligatures w14:val="standardContextual"/>
        </w:rPr>
        <w:drawing>
          <wp:inline distT="0" distB="0" distL="0" distR="0" wp14:anchorId="0C54FB66" wp14:editId="333D1C9F">
            <wp:extent cx="5681133" cy="3828415"/>
            <wp:effectExtent l="0" t="0" r="8890" b="6985"/>
            <wp:docPr id="1777574266" name="Chart 1">
              <a:extLst xmlns:a="http://schemas.openxmlformats.org/drawingml/2006/main">
                <a:ext uri="{FF2B5EF4-FFF2-40B4-BE49-F238E27FC236}">
                  <a16:creationId xmlns:a16="http://schemas.microsoft.com/office/drawing/2014/main" id="{0298BFA5-8FB6-74BB-EB6E-54BCA6726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Theme="majorHAnsi" w:hAnsiTheme="majorHAnsi" w:cstheme="majorHAnsi"/>
        </w:rPr>
        <w:t xml:space="preserve"> </w:t>
      </w:r>
    </w:p>
    <w:p w14:paraId="778E4815" w14:textId="77777777" w:rsidR="00500913" w:rsidRDefault="00500913" w:rsidP="00500913">
      <w:pPr>
        <w:rPr>
          <w:rFonts w:asciiTheme="majorHAnsi" w:eastAsiaTheme="minorHAnsi" w:hAnsiTheme="majorHAnsi" w:cstheme="majorHAnsi"/>
          <w:kern w:val="2"/>
          <w14:ligatures w14:val="standardContextual"/>
        </w:rPr>
      </w:pPr>
      <w:r>
        <w:rPr>
          <w:rFonts w:asciiTheme="majorHAnsi" w:hAnsiTheme="majorHAnsi" w:cstheme="majorHAnsi"/>
        </w:rPr>
        <w:t xml:space="preserve">Data sourced from </w:t>
      </w:r>
      <w:r w:rsidRPr="0068104D">
        <w:rPr>
          <w:rFonts w:asciiTheme="majorHAnsi" w:hAnsiTheme="majorHAnsi" w:cstheme="majorHAnsi"/>
        </w:rPr>
        <w:t>Table 2. Content Analysis of youth.gov Data</w:t>
      </w:r>
      <w:r>
        <w:rPr>
          <w:rFonts w:asciiTheme="majorHAnsi" w:hAnsiTheme="majorHAnsi" w:cstheme="majorHAnsi"/>
        </w:rPr>
        <w:t xml:space="preserve">.  Counts were recorded based </w:t>
      </w:r>
      <w:proofErr w:type="gramStart"/>
      <w:r>
        <w:rPr>
          <w:rFonts w:asciiTheme="majorHAnsi" w:hAnsiTheme="majorHAnsi" w:cstheme="majorHAnsi"/>
        </w:rPr>
        <w:t>off</w:t>
      </w:r>
      <w:proofErr w:type="gramEnd"/>
      <w:r>
        <w:rPr>
          <w:rFonts w:asciiTheme="majorHAnsi" w:hAnsiTheme="majorHAnsi" w:cstheme="majorHAnsi"/>
        </w:rPr>
        <w:t xml:space="preserve"> any benefit provided that focused on </w:t>
      </w:r>
      <w:r w:rsidRPr="00D449C4">
        <w:rPr>
          <w:rFonts w:asciiTheme="majorHAnsi" w:hAnsiTheme="majorHAnsi" w:cstheme="majorHAnsi"/>
        </w:rPr>
        <w:t xml:space="preserve">financial support, housing, nutritional support, </w:t>
      </w:r>
      <w:r>
        <w:rPr>
          <w:rFonts w:asciiTheme="majorHAnsi" w:hAnsiTheme="majorHAnsi" w:cstheme="majorHAnsi"/>
        </w:rPr>
        <w:t>or</w:t>
      </w:r>
      <w:r w:rsidRPr="00D449C4">
        <w:rPr>
          <w:rFonts w:asciiTheme="majorHAnsi" w:hAnsiTheme="majorHAnsi" w:cstheme="majorHAnsi"/>
        </w:rPr>
        <w:t xml:space="preserve"> supportive services</w:t>
      </w:r>
      <w:r>
        <w:rPr>
          <w:rFonts w:asciiTheme="majorHAnsi" w:hAnsiTheme="majorHAnsi" w:cstheme="majorHAnsi"/>
        </w:rPr>
        <w:t xml:space="preserve">.  Thus, one program could produce multiple counts. </w:t>
      </w:r>
      <w:r w:rsidRPr="0068104D">
        <w:rPr>
          <w:rFonts w:asciiTheme="majorHAnsi" w:hAnsiTheme="majorHAnsi" w:cstheme="majorHAnsi"/>
        </w:rPr>
        <w:t xml:space="preserve"> </w:t>
      </w:r>
      <w:r>
        <w:rPr>
          <w:rFonts w:asciiTheme="majorHAnsi" w:hAnsiTheme="majorHAnsi" w:cstheme="majorHAnsi"/>
        </w:rPr>
        <w:br w:type="page"/>
      </w:r>
    </w:p>
    <w:p w14:paraId="28704F08" w14:textId="4D3AAB38" w:rsidR="00500913" w:rsidRPr="00D732A9" w:rsidRDefault="00500913" w:rsidP="00500913">
      <w:pPr>
        <w:spacing w:line="360" w:lineRule="auto"/>
        <w:ind w:firstLine="720"/>
      </w:pPr>
      <w:proofErr w:type="gramStart"/>
      <w:r>
        <w:lastRenderedPageBreak/>
        <w:t>The Figure</w:t>
      </w:r>
      <w:proofErr w:type="gramEnd"/>
      <w:r>
        <w:t xml:space="preserve"> </w:t>
      </w:r>
      <w:r w:rsidR="00CA7A2A">
        <w:t>4</w:t>
      </w:r>
      <w:r>
        <w:t>. Government Policies/Program’s Focus</w:t>
      </w:r>
      <w:r w:rsidRPr="00D449C4">
        <w:rPr>
          <w:rFonts w:asciiTheme="majorHAnsi" w:hAnsiTheme="majorHAnsi" w:cstheme="majorHAnsi"/>
        </w:rPr>
        <w:t>, provides a visualization of the distribution of target population age depicts the results by program and their respective focus(es) with financial support (n=1)</w:t>
      </w:r>
      <w:r w:rsidRPr="00D449C4">
        <w:rPr>
          <w:rFonts w:asciiTheme="majorHAnsi" w:hAnsiTheme="majorHAnsi" w:cstheme="majorHAnsi"/>
          <w:vertAlign w:val="superscript"/>
        </w:rPr>
        <w:t>5</w:t>
      </w:r>
      <w:r w:rsidR="00335DFD">
        <w:rPr>
          <w:rFonts w:asciiTheme="majorHAnsi" w:hAnsiTheme="majorHAnsi" w:cstheme="majorHAnsi"/>
          <w:vertAlign w:val="superscript"/>
        </w:rPr>
        <w:t>4</w:t>
      </w:r>
      <w:r w:rsidRPr="00D449C4">
        <w:rPr>
          <w:rFonts w:asciiTheme="majorHAnsi" w:hAnsiTheme="majorHAnsi" w:cstheme="majorHAnsi"/>
        </w:rPr>
        <w:t>, housing (n=1)</w:t>
      </w:r>
      <w:r w:rsidRPr="00D449C4">
        <w:rPr>
          <w:rFonts w:asciiTheme="majorHAnsi" w:hAnsiTheme="majorHAnsi" w:cstheme="majorHAnsi"/>
          <w:vertAlign w:val="superscript"/>
        </w:rPr>
        <w:t>5</w:t>
      </w:r>
      <w:r w:rsidR="00335DFD">
        <w:rPr>
          <w:rFonts w:asciiTheme="majorHAnsi" w:hAnsiTheme="majorHAnsi" w:cstheme="majorHAnsi"/>
          <w:vertAlign w:val="superscript"/>
        </w:rPr>
        <w:t>0</w:t>
      </w:r>
      <w:r w:rsidRPr="00D449C4">
        <w:rPr>
          <w:rFonts w:asciiTheme="majorHAnsi" w:hAnsiTheme="majorHAnsi" w:cstheme="majorHAnsi"/>
        </w:rPr>
        <w:t>, nutritional support (n=5)</w:t>
      </w:r>
      <w:r w:rsidR="00335DFD">
        <w:rPr>
          <w:rFonts w:asciiTheme="majorHAnsi" w:hAnsiTheme="majorHAnsi" w:cstheme="majorHAnsi"/>
          <w:vertAlign w:val="superscript"/>
        </w:rPr>
        <w:t>56</w:t>
      </w:r>
      <w:r w:rsidRPr="00D449C4">
        <w:rPr>
          <w:rFonts w:asciiTheme="majorHAnsi" w:hAnsiTheme="majorHAnsi" w:cstheme="majorHAnsi"/>
          <w:vertAlign w:val="superscript"/>
        </w:rPr>
        <w:t>,</w:t>
      </w:r>
      <w:r w:rsidR="00335DFD">
        <w:rPr>
          <w:rFonts w:asciiTheme="majorHAnsi" w:hAnsiTheme="majorHAnsi" w:cstheme="majorHAnsi"/>
          <w:vertAlign w:val="superscript"/>
        </w:rPr>
        <w:t>58</w:t>
      </w:r>
      <w:r>
        <w:rPr>
          <w:rFonts w:asciiTheme="majorHAnsi" w:hAnsiTheme="majorHAnsi" w:cstheme="majorHAnsi"/>
          <w:vertAlign w:val="superscript"/>
        </w:rPr>
        <w:t>-</w:t>
      </w:r>
      <w:r w:rsidRPr="00D449C4">
        <w:rPr>
          <w:rFonts w:asciiTheme="majorHAnsi" w:hAnsiTheme="majorHAnsi" w:cstheme="majorHAnsi"/>
          <w:vertAlign w:val="superscript"/>
        </w:rPr>
        <w:t>6</w:t>
      </w:r>
      <w:r w:rsidR="00335DFD">
        <w:rPr>
          <w:rFonts w:asciiTheme="majorHAnsi" w:hAnsiTheme="majorHAnsi" w:cstheme="majorHAnsi"/>
          <w:vertAlign w:val="superscript"/>
        </w:rPr>
        <w:t>1</w:t>
      </w:r>
      <w:r w:rsidRPr="00D449C4">
        <w:rPr>
          <w:rFonts w:asciiTheme="majorHAnsi" w:hAnsiTheme="majorHAnsi" w:cstheme="majorHAnsi"/>
        </w:rPr>
        <w:t>, supportive services (n=5)</w:t>
      </w:r>
      <w:r w:rsidR="00335DFD">
        <w:rPr>
          <w:rFonts w:asciiTheme="majorHAnsi" w:hAnsiTheme="majorHAnsi" w:cstheme="majorHAnsi"/>
          <w:vertAlign w:val="superscript"/>
        </w:rPr>
        <w:t>47</w:t>
      </w:r>
      <w:r>
        <w:rPr>
          <w:rFonts w:asciiTheme="majorHAnsi" w:hAnsiTheme="majorHAnsi" w:cstheme="majorHAnsi"/>
          <w:vertAlign w:val="superscript"/>
        </w:rPr>
        <w:t>-</w:t>
      </w:r>
      <w:r w:rsidR="00335DFD">
        <w:rPr>
          <w:rFonts w:asciiTheme="majorHAnsi" w:hAnsiTheme="majorHAnsi" w:cstheme="majorHAnsi"/>
          <w:vertAlign w:val="superscript"/>
        </w:rPr>
        <w:t>49</w:t>
      </w:r>
      <w:r w:rsidRPr="00D449C4">
        <w:rPr>
          <w:rFonts w:asciiTheme="majorHAnsi" w:hAnsiTheme="majorHAnsi" w:cstheme="majorHAnsi"/>
          <w:vertAlign w:val="superscript"/>
        </w:rPr>
        <w:t>,5</w:t>
      </w:r>
      <w:r w:rsidR="00335DFD">
        <w:rPr>
          <w:rFonts w:asciiTheme="majorHAnsi" w:hAnsiTheme="majorHAnsi" w:cstheme="majorHAnsi"/>
          <w:vertAlign w:val="superscript"/>
        </w:rPr>
        <w:t>3</w:t>
      </w:r>
      <w:r w:rsidRPr="00D449C4">
        <w:rPr>
          <w:rFonts w:asciiTheme="majorHAnsi" w:hAnsiTheme="majorHAnsi" w:cstheme="majorHAnsi"/>
          <w:vertAlign w:val="superscript"/>
        </w:rPr>
        <w:t>,5</w:t>
      </w:r>
      <w:r w:rsidR="00335DFD">
        <w:rPr>
          <w:rFonts w:asciiTheme="majorHAnsi" w:hAnsiTheme="majorHAnsi" w:cstheme="majorHAnsi"/>
          <w:vertAlign w:val="superscript"/>
        </w:rPr>
        <w:t>5</w:t>
      </w:r>
      <w:r w:rsidRPr="00D449C4">
        <w:rPr>
          <w:rFonts w:asciiTheme="majorHAnsi" w:hAnsiTheme="majorHAnsi" w:cstheme="majorHAnsi"/>
        </w:rPr>
        <w:t>, housing and supportive services (n=2)</w:t>
      </w:r>
      <w:r w:rsidRPr="00D449C4">
        <w:rPr>
          <w:rFonts w:asciiTheme="majorHAnsi" w:hAnsiTheme="majorHAnsi" w:cstheme="majorHAnsi"/>
          <w:vertAlign w:val="superscript"/>
        </w:rPr>
        <w:t>4</w:t>
      </w:r>
      <w:r w:rsidR="00335DFD">
        <w:rPr>
          <w:rFonts w:asciiTheme="majorHAnsi" w:hAnsiTheme="majorHAnsi" w:cstheme="majorHAnsi"/>
          <w:vertAlign w:val="superscript"/>
        </w:rPr>
        <w:t>5</w:t>
      </w:r>
      <w:r w:rsidRPr="00D449C4">
        <w:rPr>
          <w:rFonts w:asciiTheme="majorHAnsi" w:hAnsiTheme="majorHAnsi" w:cstheme="majorHAnsi"/>
          <w:vertAlign w:val="superscript"/>
        </w:rPr>
        <w:t>,5</w:t>
      </w:r>
      <w:r w:rsidR="00335DFD">
        <w:rPr>
          <w:rFonts w:asciiTheme="majorHAnsi" w:hAnsiTheme="majorHAnsi" w:cstheme="majorHAnsi"/>
          <w:vertAlign w:val="superscript"/>
        </w:rPr>
        <w:t>2</w:t>
      </w:r>
      <w:r w:rsidRPr="00D449C4">
        <w:rPr>
          <w:rFonts w:asciiTheme="majorHAnsi" w:hAnsiTheme="majorHAnsi" w:cstheme="majorHAnsi"/>
        </w:rPr>
        <w:t>, housing, nutritional support, and supportive services (n=3)</w:t>
      </w:r>
      <w:r w:rsidRPr="00D449C4">
        <w:rPr>
          <w:rFonts w:asciiTheme="majorHAnsi" w:hAnsiTheme="majorHAnsi" w:cstheme="majorHAnsi"/>
          <w:vertAlign w:val="superscript"/>
        </w:rPr>
        <w:t>4</w:t>
      </w:r>
      <w:r w:rsidR="00335DFD">
        <w:rPr>
          <w:rFonts w:asciiTheme="majorHAnsi" w:hAnsiTheme="majorHAnsi" w:cstheme="majorHAnsi"/>
          <w:vertAlign w:val="superscript"/>
        </w:rPr>
        <w:t>3</w:t>
      </w:r>
      <w:r w:rsidRPr="00D449C4">
        <w:rPr>
          <w:rFonts w:asciiTheme="majorHAnsi" w:hAnsiTheme="majorHAnsi" w:cstheme="majorHAnsi"/>
          <w:vertAlign w:val="superscript"/>
        </w:rPr>
        <w:t>,4</w:t>
      </w:r>
      <w:r w:rsidR="00335DFD">
        <w:rPr>
          <w:rFonts w:asciiTheme="majorHAnsi" w:hAnsiTheme="majorHAnsi" w:cstheme="majorHAnsi"/>
          <w:vertAlign w:val="superscript"/>
        </w:rPr>
        <w:t>4</w:t>
      </w:r>
      <w:r w:rsidRPr="00D449C4">
        <w:rPr>
          <w:rFonts w:asciiTheme="majorHAnsi" w:hAnsiTheme="majorHAnsi" w:cstheme="majorHAnsi"/>
          <w:vertAlign w:val="superscript"/>
        </w:rPr>
        <w:t>,</w:t>
      </w:r>
      <w:r w:rsidR="00335DFD">
        <w:rPr>
          <w:rFonts w:asciiTheme="majorHAnsi" w:hAnsiTheme="majorHAnsi" w:cstheme="majorHAnsi"/>
          <w:vertAlign w:val="superscript"/>
        </w:rPr>
        <w:t>46</w:t>
      </w:r>
      <w:r w:rsidRPr="00D449C4">
        <w:rPr>
          <w:rFonts w:asciiTheme="majorHAnsi" w:hAnsiTheme="majorHAnsi" w:cstheme="majorHAnsi"/>
        </w:rPr>
        <w:t>, financial support, housing, nutritional support, and supportive services (n=1)</w:t>
      </w:r>
      <w:r w:rsidRPr="00D449C4">
        <w:rPr>
          <w:rFonts w:asciiTheme="majorHAnsi" w:hAnsiTheme="majorHAnsi" w:cstheme="majorHAnsi"/>
          <w:vertAlign w:val="superscript"/>
        </w:rPr>
        <w:t>5</w:t>
      </w:r>
      <w:r w:rsidR="00335DFD">
        <w:rPr>
          <w:rFonts w:asciiTheme="majorHAnsi" w:hAnsiTheme="majorHAnsi" w:cstheme="majorHAnsi"/>
          <w:vertAlign w:val="superscript"/>
        </w:rPr>
        <w:t>1</w:t>
      </w:r>
      <w:r w:rsidRPr="00D449C4">
        <w:rPr>
          <w:rFonts w:asciiTheme="majorHAnsi" w:hAnsiTheme="majorHAnsi" w:cstheme="majorHAnsi"/>
        </w:rPr>
        <w:t>, financial support and supportive services (n=1)</w:t>
      </w:r>
      <w:r w:rsidRPr="00D449C4">
        <w:rPr>
          <w:rFonts w:asciiTheme="majorHAnsi" w:hAnsiTheme="majorHAnsi" w:cstheme="majorHAnsi"/>
          <w:vertAlign w:val="superscript"/>
        </w:rPr>
        <w:t>6</w:t>
      </w:r>
      <w:r w:rsidR="00335DFD">
        <w:rPr>
          <w:rFonts w:asciiTheme="majorHAnsi" w:hAnsiTheme="majorHAnsi" w:cstheme="majorHAnsi"/>
          <w:vertAlign w:val="superscript"/>
        </w:rPr>
        <w:t>2</w:t>
      </w:r>
      <w:r w:rsidRPr="00D449C4">
        <w:rPr>
          <w:rFonts w:asciiTheme="majorHAnsi" w:hAnsiTheme="majorHAnsi" w:cstheme="majorHAnsi"/>
        </w:rPr>
        <w:t>, and nutritional support and supportive services (n=1)</w:t>
      </w:r>
      <w:r w:rsidRPr="00D449C4">
        <w:rPr>
          <w:rFonts w:asciiTheme="majorHAnsi" w:hAnsiTheme="majorHAnsi" w:cstheme="majorHAnsi"/>
          <w:vertAlign w:val="superscript"/>
        </w:rPr>
        <w:t>61</w:t>
      </w:r>
      <w:r w:rsidRPr="00D449C4">
        <w:rPr>
          <w:rFonts w:asciiTheme="majorHAnsi" w:hAnsiTheme="majorHAnsi" w:cstheme="majorHAnsi"/>
        </w:rPr>
        <w:t>.</w:t>
      </w:r>
    </w:p>
    <w:p w14:paraId="7794B40E" w14:textId="77777777" w:rsidR="00500913" w:rsidRDefault="00500913" w:rsidP="00500913">
      <w:pPr>
        <w:spacing w:line="360" w:lineRule="auto"/>
      </w:pPr>
    </w:p>
    <w:p w14:paraId="1ECC683C" w14:textId="58669158" w:rsidR="00500913" w:rsidRDefault="00500913" w:rsidP="00500913">
      <w:pPr>
        <w:spacing w:line="360" w:lineRule="auto"/>
      </w:pPr>
      <w:r>
        <w:t xml:space="preserve">Figure </w:t>
      </w:r>
      <w:r w:rsidR="00CA7A2A">
        <w:t>4</w:t>
      </w:r>
      <w:r>
        <w:t>. Governmental Policies/Program’s Focus</w:t>
      </w:r>
    </w:p>
    <w:p w14:paraId="22C7960C" w14:textId="77777777" w:rsidR="00500913" w:rsidRDefault="00500913" w:rsidP="00500913">
      <w:pPr>
        <w:spacing w:line="360" w:lineRule="auto"/>
      </w:pPr>
      <w:r>
        <w:rPr>
          <w:noProof/>
          <w14:ligatures w14:val="standardContextual"/>
        </w:rPr>
        <w:drawing>
          <wp:inline distT="0" distB="0" distL="0" distR="0" wp14:anchorId="4A7FCBD0" wp14:editId="23BAD26A">
            <wp:extent cx="5943600" cy="4311015"/>
            <wp:effectExtent l="0" t="0" r="12700" b="6985"/>
            <wp:docPr id="1199868906" name="Chart 1">
              <a:extLst xmlns:a="http://schemas.openxmlformats.org/drawingml/2006/main">
                <a:ext uri="{FF2B5EF4-FFF2-40B4-BE49-F238E27FC236}">
                  <a16:creationId xmlns:a16="http://schemas.microsoft.com/office/drawing/2014/main" id="{BCDB7387-7801-D6D2-506D-AFCBC2630A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6A196E0" w14:textId="77777777" w:rsidR="00500913" w:rsidRDefault="00500913" w:rsidP="00500913">
      <w:pPr>
        <w:rPr>
          <w:rFonts w:asciiTheme="majorHAnsi" w:hAnsiTheme="majorHAnsi" w:cstheme="majorHAnsi"/>
        </w:rPr>
      </w:pPr>
      <w:r>
        <w:rPr>
          <w:rFonts w:asciiTheme="majorHAnsi" w:hAnsiTheme="majorHAnsi" w:cstheme="majorHAnsi"/>
        </w:rPr>
        <w:t xml:space="preserve">Data sourced from </w:t>
      </w:r>
      <w:r w:rsidRPr="0068104D">
        <w:rPr>
          <w:rFonts w:asciiTheme="majorHAnsi" w:hAnsiTheme="majorHAnsi" w:cstheme="majorHAnsi"/>
        </w:rPr>
        <w:t>Table 2. Content Analysis of youth.gov Data</w:t>
      </w:r>
      <w:r>
        <w:rPr>
          <w:rFonts w:asciiTheme="majorHAnsi" w:hAnsiTheme="majorHAnsi" w:cstheme="majorHAnsi"/>
        </w:rPr>
        <w:t>.  Count represents program focus(es) matching completely to one of the established categories located along the vertical access.</w:t>
      </w:r>
    </w:p>
    <w:p w14:paraId="4093E1DB" w14:textId="2E2CCC22" w:rsidR="002573BE" w:rsidRPr="009C42BA" w:rsidRDefault="00500913">
      <w:pPr>
        <w:rPr>
          <w:rFonts w:asciiTheme="majorHAnsi" w:hAnsiTheme="majorHAnsi" w:cstheme="majorHAnsi"/>
        </w:rPr>
      </w:pPr>
      <w:r>
        <w:rPr>
          <w:rFonts w:asciiTheme="majorHAnsi" w:hAnsiTheme="majorHAnsi" w:cstheme="majorHAnsi"/>
        </w:rPr>
        <w:br w:type="page"/>
      </w:r>
    </w:p>
    <w:tbl>
      <w:tblPr>
        <w:tblStyle w:val="TableGrid"/>
        <w:tblW w:w="0" w:type="auto"/>
        <w:tblLook w:val="04A0" w:firstRow="1" w:lastRow="0" w:firstColumn="1" w:lastColumn="0" w:noHBand="0" w:noVBand="1"/>
      </w:tblPr>
      <w:tblGrid>
        <w:gridCol w:w="4225"/>
        <w:gridCol w:w="4680"/>
      </w:tblGrid>
      <w:tr w:rsidR="00DB2754" w:rsidRPr="00BC0756" w14:paraId="3B7F8B04" w14:textId="77777777" w:rsidTr="00A40DEB">
        <w:tc>
          <w:tcPr>
            <w:tcW w:w="8905" w:type="dxa"/>
            <w:gridSpan w:val="2"/>
          </w:tcPr>
          <w:p w14:paraId="3A35C2D0" w14:textId="77777777" w:rsidR="00DB2754" w:rsidRPr="00BC0756" w:rsidRDefault="00DB2754" w:rsidP="00A40DEB">
            <w:pPr>
              <w:rPr>
                <w:rFonts w:asciiTheme="majorHAnsi" w:hAnsiTheme="majorHAnsi" w:cstheme="majorHAnsi"/>
              </w:rPr>
            </w:pPr>
            <w:r w:rsidRPr="00BC0756">
              <w:rPr>
                <w:rFonts w:asciiTheme="majorHAnsi" w:hAnsiTheme="majorHAnsi" w:cstheme="majorHAnsi"/>
              </w:rPr>
              <w:lastRenderedPageBreak/>
              <w:t>Table 3.  Interview Results</w:t>
            </w:r>
          </w:p>
        </w:tc>
      </w:tr>
      <w:tr w:rsidR="00DB2754" w:rsidRPr="00BC0756" w14:paraId="704CC00A" w14:textId="77777777" w:rsidTr="00A40DEB">
        <w:tc>
          <w:tcPr>
            <w:tcW w:w="4225" w:type="dxa"/>
          </w:tcPr>
          <w:p w14:paraId="2704F00C" w14:textId="77777777" w:rsidR="00DB2754" w:rsidRPr="00BC0756" w:rsidRDefault="00DB2754" w:rsidP="00A40DEB">
            <w:pPr>
              <w:rPr>
                <w:rFonts w:asciiTheme="majorHAnsi" w:hAnsiTheme="majorHAnsi" w:cstheme="majorHAnsi"/>
                <w:b/>
                <w:bCs/>
              </w:rPr>
            </w:pPr>
          </w:p>
        </w:tc>
        <w:tc>
          <w:tcPr>
            <w:tcW w:w="4680" w:type="dxa"/>
          </w:tcPr>
          <w:p w14:paraId="0379BCCD" w14:textId="77777777" w:rsidR="00DB2754" w:rsidRPr="00BC0756" w:rsidRDefault="00DB2754" w:rsidP="00A40DEB">
            <w:pPr>
              <w:jc w:val="center"/>
              <w:rPr>
                <w:rFonts w:asciiTheme="majorHAnsi" w:hAnsiTheme="majorHAnsi" w:cstheme="majorHAnsi"/>
              </w:rPr>
            </w:pPr>
            <w:r w:rsidRPr="00BC0756">
              <w:rPr>
                <w:rFonts w:asciiTheme="majorHAnsi" w:hAnsiTheme="majorHAnsi" w:cstheme="majorHAnsi"/>
              </w:rPr>
              <w:t>Response</w:t>
            </w:r>
          </w:p>
        </w:tc>
      </w:tr>
      <w:tr w:rsidR="00DB2754" w:rsidRPr="00BC0756" w14:paraId="5CE340FC" w14:textId="77777777" w:rsidTr="00A40DEB">
        <w:tc>
          <w:tcPr>
            <w:tcW w:w="4225" w:type="dxa"/>
          </w:tcPr>
          <w:p w14:paraId="4B7028FB" w14:textId="77777777" w:rsidR="00DB2754" w:rsidRPr="00BC0756" w:rsidRDefault="00DB2754" w:rsidP="00A40DEB">
            <w:pPr>
              <w:rPr>
                <w:rFonts w:asciiTheme="majorHAnsi" w:hAnsiTheme="majorHAnsi" w:cstheme="majorHAnsi"/>
                <w:b/>
                <w:bCs/>
              </w:rPr>
            </w:pPr>
            <w:r w:rsidRPr="00BC0756">
              <w:rPr>
                <w:rFonts w:asciiTheme="majorHAnsi" w:hAnsiTheme="majorHAnsi" w:cstheme="majorHAnsi"/>
                <w:b/>
                <w:bCs/>
              </w:rPr>
              <w:t>Organization Background Questions</w:t>
            </w:r>
          </w:p>
        </w:tc>
        <w:tc>
          <w:tcPr>
            <w:tcW w:w="4680" w:type="dxa"/>
          </w:tcPr>
          <w:p w14:paraId="28E10E03" w14:textId="77777777" w:rsidR="00DB2754" w:rsidRPr="00BC0756" w:rsidRDefault="00DB2754" w:rsidP="00A40DEB">
            <w:pPr>
              <w:rPr>
                <w:rFonts w:asciiTheme="majorHAnsi" w:hAnsiTheme="majorHAnsi" w:cstheme="majorHAnsi"/>
              </w:rPr>
            </w:pPr>
          </w:p>
        </w:tc>
      </w:tr>
      <w:tr w:rsidR="00DB2754" w:rsidRPr="00BC0756" w14:paraId="28082E66" w14:textId="77777777" w:rsidTr="00A40DEB">
        <w:tc>
          <w:tcPr>
            <w:tcW w:w="4225" w:type="dxa"/>
          </w:tcPr>
          <w:p w14:paraId="1540F0B8" w14:textId="68FD6FCB" w:rsidR="00DB2754" w:rsidRPr="00BC0756" w:rsidRDefault="00677687" w:rsidP="00A40DEB">
            <w:pPr>
              <w:pStyle w:val="ListParagraph"/>
              <w:numPr>
                <w:ilvl w:val="0"/>
                <w:numId w:val="5"/>
              </w:numPr>
              <w:rPr>
                <w:rFonts w:asciiTheme="majorHAnsi" w:hAnsiTheme="majorHAnsi" w:cstheme="majorHAnsi"/>
              </w:rPr>
            </w:pPr>
            <w:r>
              <w:t>Nongovernment Organization (NGO)</w:t>
            </w:r>
            <w:r w:rsidR="00DB2754" w:rsidRPr="00BC0756">
              <w:t xml:space="preserve"> or government</w:t>
            </w:r>
            <w:r>
              <w:t xml:space="preserve"> organization</w:t>
            </w:r>
            <w:r w:rsidR="00DB2754" w:rsidRPr="00BC0756">
              <w:t>?</w:t>
            </w:r>
          </w:p>
        </w:tc>
        <w:tc>
          <w:tcPr>
            <w:tcW w:w="4680" w:type="dxa"/>
          </w:tcPr>
          <w:p w14:paraId="775F8F44" w14:textId="77777777" w:rsidR="00DB2754" w:rsidRPr="00BC0756" w:rsidRDefault="00DB2754" w:rsidP="00A40DEB">
            <w:pPr>
              <w:rPr>
                <w:rFonts w:asciiTheme="majorHAnsi" w:hAnsiTheme="majorHAnsi" w:cstheme="majorHAnsi"/>
              </w:rPr>
            </w:pPr>
            <w:r w:rsidRPr="00BC0756">
              <w:rPr>
                <w:rFonts w:asciiTheme="majorHAnsi" w:hAnsiTheme="majorHAnsi" w:cstheme="majorHAnsi"/>
              </w:rPr>
              <w:t>NGO</w:t>
            </w:r>
          </w:p>
        </w:tc>
      </w:tr>
      <w:tr w:rsidR="00DB2754" w:rsidRPr="00BC0756" w14:paraId="2E9D7569" w14:textId="77777777" w:rsidTr="00A40DEB">
        <w:tc>
          <w:tcPr>
            <w:tcW w:w="4225" w:type="dxa"/>
          </w:tcPr>
          <w:p w14:paraId="5CE8BAEC" w14:textId="77777777" w:rsidR="00DB2754" w:rsidRPr="00BC0756" w:rsidRDefault="00DB2754" w:rsidP="00A40DEB">
            <w:pPr>
              <w:pStyle w:val="ListParagraph"/>
              <w:numPr>
                <w:ilvl w:val="0"/>
                <w:numId w:val="5"/>
              </w:numPr>
            </w:pPr>
            <w:r w:rsidRPr="00BC0756">
              <w:t>Target population age?</w:t>
            </w:r>
          </w:p>
        </w:tc>
        <w:tc>
          <w:tcPr>
            <w:tcW w:w="4680" w:type="dxa"/>
          </w:tcPr>
          <w:p w14:paraId="6757CE97" w14:textId="77777777" w:rsidR="00DB2754" w:rsidRPr="00BC0756" w:rsidRDefault="00DB2754" w:rsidP="00A40DEB">
            <w:pPr>
              <w:rPr>
                <w:rFonts w:asciiTheme="majorHAnsi" w:hAnsiTheme="majorHAnsi" w:cstheme="majorHAnsi"/>
              </w:rPr>
            </w:pPr>
            <w:r w:rsidRPr="00BC0756">
              <w:rPr>
                <w:rFonts w:asciiTheme="majorHAnsi" w:hAnsiTheme="majorHAnsi" w:cstheme="majorHAnsi"/>
              </w:rPr>
              <w:t>13-18, strictly enforced</w:t>
            </w:r>
          </w:p>
        </w:tc>
      </w:tr>
      <w:tr w:rsidR="00DB2754" w:rsidRPr="00BC0756" w14:paraId="5112626E" w14:textId="77777777" w:rsidTr="00A40DEB">
        <w:tc>
          <w:tcPr>
            <w:tcW w:w="4225" w:type="dxa"/>
          </w:tcPr>
          <w:p w14:paraId="69AE0EF7" w14:textId="77777777" w:rsidR="00DB2754" w:rsidRPr="00BC0756" w:rsidRDefault="00DB2754" w:rsidP="00A40DEB">
            <w:pPr>
              <w:pStyle w:val="ListParagraph"/>
              <w:numPr>
                <w:ilvl w:val="0"/>
                <w:numId w:val="5"/>
              </w:numPr>
              <w:rPr>
                <w:rFonts w:asciiTheme="majorHAnsi" w:hAnsiTheme="majorHAnsi" w:cstheme="majorHAnsi"/>
              </w:rPr>
            </w:pPr>
            <w:r w:rsidRPr="00BC0756">
              <w:t>Purpose?</w:t>
            </w:r>
          </w:p>
        </w:tc>
        <w:tc>
          <w:tcPr>
            <w:tcW w:w="4680" w:type="dxa"/>
          </w:tcPr>
          <w:p w14:paraId="5581010E" w14:textId="77777777" w:rsidR="00DB2754" w:rsidRPr="00BC0756" w:rsidRDefault="00DB2754" w:rsidP="00A40DEB">
            <w:pPr>
              <w:rPr>
                <w:rFonts w:asciiTheme="majorHAnsi" w:hAnsiTheme="majorHAnsi" w:cstheme="majorHAnsi"/>
              </w:rPr>
            </w:pPr>
            <w:r w:rsidRPr="00BC0756">
              <w:rPr>
                <w:rFonts w:asciiTheme="majorHAnsi" w:hAnsiTheme="majorHAnsi" w:cstheme="majorHAnsi"/>
              </w:rPr>
              <w:t>Provide emergency shelter for teens 13-18 years of age who are at risk of abuse, neglect, or homelessness</w:t>
            </w:r>
          </w:p>
        </w:tc>
      </w:tr>
      <w:tr w:rsidR="00DB2754" w:rsidRPr="00BC0756" w14:paraId="64F2554F" w14:textId="77777777" w:rsidTr="00A40DEB">
        <w:tc>
          <w:tcPr>
            <w:tcW w:w="4225" w:type="dxa"/>
          </w:tcPr>
          <w:p w14:paraId="495708D3" w14:textId="77777777" w:rsidR="00DB2754" w:rsidRPr="00BC0756" w:rsidRDefault="00DB2754" w:rsidP="00A40DEB">
            <w:pPr>
              <w:pStyle w:val="ListParagraph"/>
              <w:numPr>
                <w:ilvl w:val="0"/>
                <w:numId w:val="5"/>
              </w:numPr>
              <w:rPr>
                <w:rFonts w:asciiTheme="majorHAnsi" w:hAnsiTheme="majorHAnsi" w:cstheme="majorHAnsi"/>
              </w:rPr>
            </w:pPr>
            <w:r w:rsidRPr="00BC0756">
              <w:rPr>
                <w:rFonts w:asciiTheme="majorHAnsi" w:hAnsiTheme="majorHAnsi" w:cstheme="majorHAnsi"/>
              </w:rPr>
              <w:t>Date of establishment</w:t>
            </w:r>
          </w:p>
        </w:tc>
        <w:tc>
          <w:tcPr>
            <w:tcW w:w="4680" w:type="dxa"/>
          </w:tcPr>
          <w:p w14:paraId="2AFA71F4" w14:textId="77777777" w:rsidR="00DB2754" w:rsidRPr="00BC0756" w:rsidRDefault="00DB2754" w:rsidP="00A40DEB">
            <w:pPr>
              <w:rPr>
                <w:rFonts w:asciiTheme="majorHAnsi" w:hAnsiTheme="majorHAnsi" w:cstheme="majorHAnsi"/>
              </w:rPr>
            </w:pPr>
            <w:r w:rsidRPr="00BC0756">
              <w:rPr>
                <w:rFonts w:asciiTheme="majorHAnsi" w:hAnsiTheme="majorHAnsi" w:cstheme="majorHAnsi"/>
              </w:rPr>
              <w:t>1956, continuously operating since</w:t>
            </w:r>
          </w:p>
        </w:tc>
      </w:tr>
      <w:tr w:rsidR="00DB2754" w:rsidRPr="00BC0756" w14:paraId="1AB3CC8B" w14:textId="77777777" w:rsidTr="00A40DEB">
        <w:tc>
          <w:tcPr>
            <w:tcW w:w="4225" w:type="dxa"/>
          </w:tcPr>
          <w:p w14:paraId="3FBFB654" w14:textId="77777777" w:rsidR="00DB2754" w:rsidRPr="00BC0756" w:rsidRDefault="00DB2754" w:rsidP="00A40DEB">
            <w:pPr>
              <w:rPr>
                <w:b/>
                <w:bCs/>
              </w:rPr>
            </w:pPr>
            <w:r w:rsidRPr="00BC0756">
              <w:rPr>
                <w:rFonts w:asciiTheme="majorHAnsi" w:hAnsiTheme="majorHAnsi" w:cstheme="majorHAnsi"/>
                <w:b/>
                <w:bCs/>
              </w:rPr>
              <w:t>Respondent Background Questions</w:t>
            </w:r>
          </w:p>
        </w:tc>
        <w:tc>
          <w:tcPr>
            <w:tcW w:w="4680" w:type="dxa"/>
          </w:tcPr>
          <w:p w14:paraId="38C28D4E" w14:textId="77777777" w:rsidR="00DB2754" w:rsidRPr="00BC0756" w:rsidRDefault="00DB2754" w:rsidP="00A40DEB">
            <w:pPr>
              <w:rPr>
                <w:rFonts w:asciiTheme="majorHAnsi" w:hAnsiTheme="majorHAnsi" w:cstheme="majorHAnsi"/>
              </w:rPr>
            </w:pPr>
          </w:p>
        </w:tc>
      </w:tr>
      <w:tr w:rsidR="00DB2754" w:rsidRPr="00BC0756" w14:paraId="62855CF9" w14:textId="77777777" w:rsidTr="00A40DEB">
        <w:tc>
          <w:tcPr>
            <w:tcW w:w="4225" w:type="dxa"/>
          </w:tcPr>
          <w:p w14:paraId="7EBAB6DA" w14:textId="77777777" w:rsidR="00DB2754" w:rsidRPr="00BC0756" w:rsidRDefault="00DB2754" w:rsidP="00A40DEB">
            <w:pPr>
              <w:pStyle w:val="ListParagraph"/>
              <w:numPr>
                <w:ilvl w:val="0"/>
                <w:numId w:val="6"/>
              </w:numPr>
              <w:rPr>
                <w:rFonts w:asciiTheme="majorHAnsi" w:hAnsiTheme="majorHAnsi" w:cstheme="majorHAnsi"/>
              </w:rPr>
            </w:pPr>
            <w:r w:rsidRPr="00BC0756">
              <w:rPr>
                <w:rFonts w:asciiTheme="majorHAnsi" w:hAnsiTheme="majorHAnsi" w:cstheme="majorHAnsi"/>
              </w:rPr>
              <w:t>Qualifications?</w:t>
            </w:r>
          </w:p>
        </w:tc>
        <w:tc>
          <w:tcPr>
            <w:tcW w:w="4680" w:type="dxa"/>
          </w:tcPr>
          <w:p w14:paraId="5C05B88A" w14:textId="77777777" w:rsidR="00DB2754" w:rsidRPr="00BC0756" w:rsidRDefault="00DB2754" w:rsidP="00A40DEB">
            <w:pPr>
              <w:rPr>
                <w:rFonts w:asciiTheme="majorHAnsi" w:hAnsiTheme="majorHAnsi" w:cstheme="majorHAnsi"/>
              </w:rPr>
            </w:pPr>
            <w:r w:rsidRPr="00BC0756">
              <w:rPr>
                <w:rFonts w:asciiTheme="majorHAnsi" w:hAnsiTheme="majorHAnsi" w:cstheme="majorHAnsi"/>
              </w:rPr>
              <w:t>BA Psychology, MA Psychology</w:t>
            </w:r>
          </w:p>
        </w:tc>
      </w:tr>
      <w:tr w:rsidR="00DB2754" w:rsidRPr="00BC0756" w14:paraId="38111B5B" w14:textId="77777777" w:rsidTr="00A40DEB">
        <w:tc>
          <w:tcPr>
            <w:tcW w:w="4225" w:type="dxa"/>
          </w:tcPr>
          <w:p w14:paraId="314CAA4E" w14:textId="77777777" w:rsidR="00DB2754" w:rsidRPr="00BC0756" w:rsidRDefault="00DB2754" w:rsidP="00A40DEB">
            <w:pPr>
              <w:pStyle w:val="ListParagraph"/>
              <w:numPr>
                <w:ilvl w:val="0"/>
                <w:numId w:val="6"/>
              </w:numPr>
              <w:rPr>
                <w:rFonts w:asciiTheme="majorHAnsi" w:hAnsiTheme="majorHAnsi" w:cstheme="majorHAnsi"/>
              </w:rPr>
            </w:pPr>
            <w:r w:rsidRPr="00BC0756">
              <w:rPr>
                <w:rFonts w:asciiTheme="majorHAnsi" w:hAnsiTheme="majorHAnsi" w:cstheme="majorHAnsi"/>
              </w:rPr>
              <w:t>Role?</w:t>
            </w:r>
          </w:p>
        </w:tc>
        <w:tc>
          <w:tcPr>
            <w:tcW w:w="4680" w:type="dxa"/>
          </w:tcPr>
          <w:p w14:paraId="652E30C0" w14:textId="77777777" w:rsidR="00DB2754" w:rsidRPr="00BC0756" w:rsidRDefault="00DB2754" w:rsidP="00A40DEB">
            <w:pPr>
              <w:rPr>
                <w:rFonts w:asciiTheme="majorHAnsi" w:hAnsiTheme="majorHAnsi" w:cstheme="majorHAnsi"/>
              </w:rPr>
            </w:pPr>
            <w:r w:rsidRPr="00BC0756">
              <w:rPr>
                <w:rFonts w:asciiTheme="majorHAnsi" w:hAnsiTheme="majorHAnsi" w:cstheme="majorHAnsi"/>
              </w:rPr>
              <w:t xml:space="preserve">Provides counseling and mental health assessments </w:t>
            </w:r>
          </w:p>
        </w:tc>
      </w:tr>
      <w:tr w:rsidR="00DB2754" w:rsidRPr="00BC0756" w14:paraId="35F2B163" w14:textId="77777777" w:rsidTr="00A40DEB">
        <w:tc>
          <w:tcPr>
            <w:tcW w:w="4225" w:type="dxa"/>
          </w:tcPr>
          <w:p w14:paraId="0353313A" w14:textId="77777777" w:rsidR="00DB2754" w:rsidRPr="00BC0756" w:rsidRDefault="00DB2754" w:rsidP="00A40DEB">
            <w:pPr>
              <w:pStyle w:val="ListParagraph"/>
              <w:numPr>
                <w:ilvl w:val="0"/>
                <w:numId w:val="6"/>
              </w:numPr>
              <w:rPr>
                <w:rFonts w:asciiTheme="majorHAnsi" w:hAnsiTheme="majorHAnsi" w:cstheme="majorHAnsi"/>
              </w:rPr>
            </w:pPr>
            <w:r w:rsidRPr="00BC0756">
              <w:rPr>
                <w:rFonts w:asciiTheme="majorHAnsi" w:hAnsiTheme="majorHAnsi" w:cstheme="majorHAnsi"/>
              </w:rPr>
              <w:t>Years with organization?</w:t>
            </w:r>
          </w:p>
        </w:tc>
        <w:tc>
          <w:tcPr>
            <w:tcW w:w="4680" w:type="dxa"/>
          </w:tcPr>
          <w:p w14:paraId="29943645" w14:textId="77777777" w:rsidR="00DB2754" w:rsidRPr="00BC0756" w:rsidRDefault="00DB2754" w:rsidP="00A40DEB">
            <w:pPr>
              <w:rPr>
                <w:rFonts w:asciiTheme="majorHAnsi" w:hAnsiTheme="majorHAnsi" w:cstheme="majorHAnsi"/>
              </w:rPr>
            </w:pPr>
            <w:r w:rsidRPr="00BC0756">
              <w:rPr>
                <w:rFonts w:asciiTheme="majorHAnsi" w:hAnsiTheme="majorHAnsi" w:cstheme="majorHAnsi"/>
              </w:rPr>
              <w:t>5 years</w:t>
            </w:r>
          </w:p>
        </w:tc>
      </w:tr>
      <w:tr w:rsidR="00DB2754" w:rsidRPr="00BC0756" w14:paraId="29C612AD" w14:textId="77777777" w:rsidTr="00A40DEB">
        <w:tc>
          <w:tcPr>
            <w:tcW w:w="4225" w:type="dxa"/>
          </w:tcPr>
          <w:p w14:paraId="3A8BF5E9" w14:textId="77777777" w:rsidR="00DB2754" w:rsidRPr="00BC0756" w:rsidRDefault="00DB2754" w:rsidP="00A40DEB">
            <w:pPr>
              <w:rPr>
                <w:rFonts w:asciiTheme="majorHAnsi" w:hAnsiTheme="majorHAnsi" w:cstheme="majorHAnsi"/>
              </w:rPr>
            </w:pPr>
            <w:r w:rsidRPr="00BC0756">
              <w:rPr>
                <w:rFonts w:asciiTheme="majorHAnsi" w:hAnsiTheme="majorHAnsi" w:cstheme="majorHAnsi"/>
              </w:rPr>
              <w:t>Focus Questions for YEH</w:t>
            </w:r>
          </w:p>
        </w:tc>
        <w:tc>
          <w:tcPr>
            <w:tcW w:w="4680" w:type="dxa"/>
          </w:tcPr>
          <w:p w14:paraId="2665C868" w14:textId="77777777" w:rsidR="00DB2754" w:rsidRPr="00BC0756" w:rsidRDefault="00DB2754" w:rsidP="00A40DEB">
            <w:pPr>
              <w:rPr>
                <w:rFonts w:asciiTheme="majorHAnsi" w:hAnsiTheme="majorHAnsi" w:cstheme="majorHAnsi"/>
              </w:rPr>
            </w:pPr>
          </w:p>
        </w:tc>
      </w:tr>
      <w:tr w:rsidR="00DB2754" w:rsidRPr="00BC0756" w14:paraId="7BE03C52" w14:textId="77777777" w:rsidTr="00A40DEB">
        <w:tc>
          <w:tcPr>
            <w:tcW w:w="4225" w:type="dxa"/>
          </w:tcPr>
          <w:p w14:paraId="2EC748F8" w14:textId="77777777" w:rsidR="00DB2754" w:rsidRPr="00BC0756" w:rsidRDefault="00DB2754" w:rsidP="00A40DEB">
            <w:pPr>
              <w:pStyle w:val="ListParagraph"/>
              <w:numPr>
                <w:ilvl w:val="0"/>
                <w:numId w:val="7"/>
              </w:numPr>
              <w:rPr>
                <w:rFonts w:asciiTheme="majorHAnsi" w:hAnsiTheme="majorHAnsi" w:cstheme="majorHAnsi"/>
              </w:rPr>
            </w:pPr>
            <w:r w:rsidRPr="00BC0756">
              <w:rPr>
                <w:rFonts w:asciiTheme="majorHAnsi" w:hAnsiTheme="majorHAnsi" w:cstheme="majorHAnsi"/>
              </w:rPr>
              <w:t xml:space="preserve">What are </w:t>
            </w:r>
            <w:proofErr w:type="gramStart"/>
            <w:r w:rsidRPr="00BC0756">
              <w:rPr>
                <w:rFonts w:asciiTheme="majorHAnsi" w:hAnsiTheme="majorHAnsi" w:cstheme="majorHAnsi"/>
              </w:rPr>
              <w:t>3 risk</w:t>
            </w:r>
            <w:proofErr w:type="gramEnd"/>
            <w:r w:rsidRPr="00BC0756">
              <w:rPr>
                <w:rFonts w:asciiTheme="majorHAnsi" w:hAnsiTheme="majorHAnsi" w:cstheme="majorHAnsi"/>
              </w:rPr>
              <w:t xml:space="preserve"> factors of youth homelessness that you observe in your work?</w:t>
            </w:r>
          </w:p>
        </w:tc>
        <w:tc>
          <w:tcPr>
            <w:tcW w:w="4680" w:type="dxa"/>
          </w:tcPr>
          <w:p w14:paraId="2E472EEE" w14:textId="77777777" w:rsidR="00DB2754" w:rsidRPr="00BC0756" w:rsidRDefault="00DB2754" w:rsidP="00A40DEB">
            <w:pPr>
              <w:rPr>
                <w:rFonts w:asciiTheme="majorHAnsi" w:hAnsiTheme="majorHAnsi" w:cstheme="majorHAnsi"/>
              </w:rPr>
            </w:pPr>
            <w:r w:rsidRPr="00BC0756">
              <w:rPr>
                <w:rFonts w:asciiTheme="majorHAnsi" w:hAnsiTheme="majorHAnsi" w:cstheme="majorHAnsi"/>
              </w:rPr>
              <w:t>Sexual abuse</w:t>
            </w:r>
          </w:p>
        </w:tc>
      </w:tr>
      <w:tr w:rsidR="00DB2754" w:rsidRPr="00BC0756" w14:paraId="71A0DC72" w14:textId="77777777" w:rsidTr="00A40DEB">
        <w:tc>
          <w:tcPr>
            <w:tcW w:w="4225" w:type="dxa"/>
            <w:vMerge w:val="restart"/>
          </w:tcPr>
          <w:p w14:paraId="64770A27" w14:textId="77777777" w:rsidR="00DB2754" w:rsidRPr="00BC0756" w:rsidRDefault="00DB2754" w:rsidP="00A40DEB">
            <w:pPr>
              <w:rPr>
                <w:rFonts w:asciiTheme="majorHAnsi" w:hAnsiTheme="majorHAnsi" w:cstheme="majorHAnsi"/>
              </w:rPr>
            </w:pPr>
          </w:p>
        </w:tc>
        <w:tc>
          <w:tcPr>
            <w:tcW w:w="4680" w:type="dxa"/>
          </w:tcPr>
          <w:p w14:paraId="45CD5774" w14:textId="77777777" w:rsidR="00DB2754" w:rsidRPr="00BC0756" w:rsidRDefault="00DB2754" w:rsidP="00A40DEB">
            <w:pPr>
              <w:rPr>
                <w:rFonts w:asciiTheme="majorHAnsi" w:hAnsiTheme="majorHAnsi" w:cstheme="majorHAnsi"/>
              </w:rPr>
            </w:pPr>
            <w:r w:rsidRPr="00BC0756">
              <w:rPr>
                <w:rFonts w:asciiTheme="majorHAnsi" w:hAnsiTheme="majorHAnsi" w:cstheme="majorHAnsi"/>
              </w:rPr>
              <w:t>Physical abuse</w:t>
            </w:r>
          </w:p>
        </w:tc>
      </w:tr>
      <w:tr w:rsidR="00DB2754" w:rsidRPr="00BC0756" w14:paraId="1BEC452D" w14:textId="77777777" w:rsidTr="00A40DEB">
        <w:tc>
          <w:tcPr>
            <w:tcW w:w="4225" w:type="dxa"/>
            <w:vMerge/>
          </w:tcPr>
          <w:p w14:paraId="4336036A" w14:textId="77777777" w:rsidR="00DB2754" w:rsidRPr="00BC0756" w:rsidRDefault="00DB2754" w:rsidP="00A40DEB">
            <w:pPr>
              <w:rPr>
                <w:rFonts w:asciiTheme="majorHAnsi" w:hAnsiTheme="majorHAnsi" w:cstheme="majorHAnsi"/>
              </w:rPr>
            </w:pPr>
          </w:p>
        </w:tc>
        <w:tc>
          <w:tcPr>
            <w:tcW w:w="4680" w:type="dxa"/>
          </w:tcPr>
          <w:p w14:paraId="0A2DD90C" w14:textId="77777777" w:rsidR="00DB2754" w:rsidRPr="00BC0756" w:rsidRDefault="00DB2754" w:rsidP="00A40DEB">
            <w:pPr>
              <w:rPr>
                <w:rFonts w:asciiTheme="majorHAnsi" w:hAnsiTheme="majorHAnsi" w:cstheme="majorHAnsi"/>
              </w:rPr>
            </w:pPr>
            <w:r w:rsidRPr="00BC0756">
              <w:rPr>
                <w:rFonts w:asciiTheme="majorHAnsi" w:hAnsiTheme="majorHAnsi" w:cstheme="majorHAnsi"/>
              </w:rPr>
              <w:t xml:space="preserve">Emotional abuse </w:t>
            </w:r>
          </w:p>
        </w:tc>
      </w:tr>
      <w:tr w:rsidR="00DB2754" w:rsidRPr="00BC0756" w14:paraId="47269967" w14:textId="77777777" w:rsidTr="00A40DEB">
        <w:tc>
          <w:tcPr>
            <w:tcW w:w="4225" w:type="dxa"/>
          </w:tcPr>
          <w:p w14:paraId="5226A271" w14:textId="77777777" w:rsidR="00DB2754" w:rsidRPr="00BC0756" w:rsidRDefault="00DB2754" w:rsidP="00A40DEB">
            <w:pPr>
              <w:pStyle w:val="ListParagraph"/>
              <w:numPr>
                <w:ilvl w:val="0"/>
                <w:numId w:val="7"/>
              </w:numPr>
              <w:rPr>
                <w:rFonts w:asciiTheme="majorHAnsi" w:hAnsiTheme="majorHAnsi" w:cstheme="majorHAnsi"/>
              </w:rPr>
            </w:pPr>
            <w:r w:rsidRPr="00BC0756">
              <w:rPr>
                <w:rFonts w:asciiTheme="majorHAnsi" w:hAnsiTheme="majorHAnsi" w:cstheme="majorHAnsi"/>
              </w:rPr>
              <w:t xml:space="preserve">What are </w:t>
            </w:r>
            <w:proofErr w:type="gramStart"/>
            <w:r w:rsidRPr="00BC0756">
              <w:rPr>
                <w:rFonts w:asciiTheme="majorHAnsi" w:hAnsiTheme="majorHAnsi" w:cstheme="majorHAnsi"/>
              </w:rPr>
              <w:t>3 outcomes</w:t>
            </w:r>
            <w:proofErr w:type="gramEnd"/>
            <w:r w:rsidRPr="00BC0756">
              <w:rPr>
                <w:rFonts w:asciiTheme="majorHAnsi" w:hAnsiTheme="majorHAnsi" w:cstheme="majorHAnsi"/>
              </w:rPr>
              <w:t xml:space="preserve"> of youth homelessness that you observe in your work?</w:t>
            </w:r>
          </w:p>
        </w:tc>
        <w:tc>
          <w:tcPr>
            <w:tcW w:w="4680" w:type="dxa"/>
          </w:tcPr>
          <w:p w14:paraId="2F32B3C0" w14:textId="77777777" w:rsidR="00DB2754" w:rsidRPr="00BC0756" w:rsidRDefault="00DB2754" w:rsidP="00A40DEB">
            <w:pPr>
              <w:rPr>
                <w:rFonts w:asciiTheme="majorHAnsi" w:hAnsiTheme="majorHAnsi" w:cstheme="majorHAnsi"/>
              </w:rPr>
            </w:pPr>
            <w:r w:rsidRPr="00BC0756">
              <w:rPr>
                <w:rFonts w:asciiTheme="majorHAnsi" w:hAnsiTheme="majorHAnsi" w:cstheme="majorHAnsi"/>
              </w:rPr>
              <w:t xml:space="preserve">Poor mental health (anxiety, depression, low </w:t>
            </w:r>
            <w:proofErr w:type="spellStart"/>
            <w:r w:rsidRPr="00BC0756">
              <w:rPr>
                <w:rFonts w:asciiTheme="majorHAnsi" w:hAnsiTheme="majorHAnsi" w:cstheme="majorHAnsi"/>
              </w:rPr>
              <w:t>self esteem</w:t>
            </w:r>
            <w:proofErr w:type="spellEnd"/>
            <w:r w:rsidRPr="00BC0756">
              <w:rPr>
                <w:rFonts w:asciiTheme="majorHAnsi" w:hAnsiTheme="majorHAnsi" w:cstheme="majorHAnsi"/>
              </w:rPr>
              <w:t>)</w:t>
            </w:r>
          </w:p>
        </w:tc>
      </w:tr>
      <w:tr w:rsidR="00DB2754" w:rsidRPr="00BC0756" w14:paraId="0A1250DE" w14:textId="77777777" w:rsidTr="00A40DEB">
        <w:tc>
          <w:tcPr>
            <w:tcW w:w="4225" w:type="dxa"/>
            <w:vMerge w:val="restart"/>
          </w:tcPr>
          <w:p w14:paraId="2ED7D74A" w14:textId="77777777" w:rsidR="00DB2754" w:rsidRPr="00BC0756" w:rsidRDefault="00DB2754" w:rsidP="00A40DEB">
            <w:pPr>
              <w:rPr>
                <w:rFonts w:asciiTheme="majorHAnsi" w:hAnsiTheme="majorHAnsi" w:cstheme="majorHAnsi"/>
              </w:rPr>
            </w:pPr>
          </w:p>
        </w:tc>
        <w:tc>
          <w:tcPr>
            <w:tcW w:w="4680" w:type="dxa"/>
          </w:tcPr>
          <w:p w14:paraId="296B07AD" w14:textId="2CFA3694" w:rsidR="00DB2754" w:rsidRPr="00BC0756" w:rsidRDefault="00DB2754" w:rsidP="00A40DEB">
            <w:pPr>
              <w:rPr>
                <w:rFonts w:asciiTheme="majorHAnsi" w:hAnsiTheme="majorHAnsi" w:cstheme="majorHAnsi"/>
              </w:rPr>
            </w:pPr>
            <w:proofErr w:type="spellStart"/>
            <w:r w:rsidRPr="00BC0756">
              <w:rPr>
                <w:rFonts w:asciiTheme="majorHAnsi" w:hAnsiTheme="majorHAnsi" w:cstheme="majorHAnsi"/>
              </w:rPr>
              <w:t>Self harm</w:t>
            </w:r>
            <w:proofErr w:type="spellEnd"/>
            <w:r w:rsidR="00677687">
              <w:rPr>
                <w:rFonts w:asciiTheme="majorHAnsi" w:hAnsiTheme="majorHAnsi" w:cstheme="majorHAnsi"/>
              </w:rPr>
              <w:t>/</w:t>
            </w:r>
            <w:r w:rsidRPr="00BC0756">
              <w:rPr>
                <w:rFonts w:asciiTheme="majorHAnsi" w:hAnsiTheme="majorHAnsi" w:cstheme="majorHAnsi"/>
              </w:rPr>
              <w:t>suicide attempt rate significantly higher</w:t>
            </w:r>
          </w:p>
        </w:tc>
      </w:tr>
      <w:tr w:rsidR="00DB2754" w:rsidRPr="00BC0756" w14:paraId="4822E1F5" w14:textId="77777777" w:rsidTr="00A40DEB">
        <w:tc>
          <w:tcPr>
            <w:tcW w:w="4225" w:type="dxa"/>
            <w:vMerge/>
          </w:tcPr>
          <w:p w14:paraId="7BB50007" w14:textId="77777777" w:rsidR="00DB2754" w:rsidRPr="00BC0756" w:rsidRDefault="00DB2754" w:rsidP="00A40DEB">
            <w:pPr>
              <w:rPr>
                <w:rFonts w:asciiTheme="majorHAnsi" w:hAnsiTheme="majorHAnsi" w:cstheme="majorHAnsi"/>
              </w:rPr>
            </w:pPr>
          </w:p>
        </w:tc>
        <w:tc>
          <w:tcPr>
            <w:tcW w:w="4680" w:type="dxa"/>
          </w:tcPr>
          <w:p w14:paraId="69CF1343" w14:textId="77777777" w:rsidR="00DB2754" w:rsidRPr="00BC0756" w:rsidRDefault="00DB2754" w:rsidP="00A40DEB">
            <w:pPr>
              <w:rPr>
                <w:rFonts w:asciiTheme="majorHAnsi" w:hAnsiTheme="majorHAnsi" w:cstheme="majorHAnsi"/>
              </w:rPr>
            </w:pPr>
            <w:r w:rsidRPr="00BC0756">
              <w:rPr>
                <w:rFonts w:asciiTheme="majorHAnsi" w:hAnsiTheme="majorHAnsi" w:cstheme="majorHAnsi"/>
              </w:rPr>
              <w:t>Substance use (tobacco, illicit drug, alcohol)</w:t>
            </w:r>
          </w:p>
        </w:tc>
      </w:tr>
      <w:tr w:rsidR="00DB2754" w:rsidRPr="00BC0756" w14:paraId="77206136" w14:textId="77777777" w:rsidTr="00A40DEB">
        <w:tc>
          <w:tcPr>
            <w:tcW w:w="4225" w:type="dxa"/>
          </w:tcPr>
          <w:p w14:paraId="7D434E10" w14:textId="77777777" w:rsidR="00DB2754" w:rsidRPr="00BC0756" w:rsidRDefault="00DB2754" w:rsidP="00A40DEB">
            <w:pPr>
              <w:pStyle w:val="ListParagraph"/>
              <w:numPr>
                <w:ilvl w:val="0"/>
                <w:numId w:val="7"/>
              </w:numPr>
              <w:rPr>
                <w:rFonts w:asciiTheme="majorHAnsi" w:hAnsiTheme="majorHAnsi" w:cstheme="majorHAnsi"/>
              </w:rPr>
            </w:pPr>
            <w:r w:rsidRPr="00BC0756">
              <w:rPr>
                <w:rFonts w:asciiTheme="majorHAnsi" w:hAnsiTheme="majorHAnsi" w:cstheme="majorHAnsi"/>
              </w:rPr>
              <w:t>What are 3 interventions of youth homelessness that you observe in your work?</w:t>
            </w:r>
          </w:p>
        </w:tc>
        <w:tc>
          <w:tcPr>
            <w:tcW w:w="4680" w:type="dxa"/>
          </w:tcPr>
          <w:p w14:paraId="1A16C8C1" w14:textId="77777777" w:rsidR="00DB2754" w:rsidRPr="00BC0756" w:rsidRDefault="00DB2754" w:rsidP="00A40DEB">
            <w:pPr>
              <w:rPr>
                <w:rFonts w:asciiTheme="majorHAnsi" w:hAnsiTheme="majorHAnsi" w:cstheme="majorHAnsi"/>
              </w:rPr>
            </w:pPr>
            <w:r w:rsidRPr="00BC0756">
              <w:rPr>
                <w:rFonts w:asciiTheme="majorHAnsi" w:hAnsiTheme="majorHAnsi" w:cstheme="majorHAnsi"/>
              </w:rPr>
              <w:t>Emergency shelter</w:t>
            </w:r>
          </w:p>
        </w:tc>
      </w:tr>
      <w:tr w:rsidR="00DB2754" w:rsidRPr="00BC0756" w14:paraId="5F24BEE5" w14:textId="77777777" w:rsidTr="00A40DEB">
        <w:tc>
          <w:tcPr>
            <w:tcW w:w="4225" w:type="dxa"/>
            <w:vMerge w:val="restart"/>
          </w:tcPr>
          <w:p w14:paraId="303E514D" w14:textId="77777777" w:rsidR="00DB2754" w:rsidRPr="00BC0756" w:rsidRDefault="00DB2754" w:rsidP="00A40DEB">
            <w:pPr>
              <w:rPr>
                <w:rFonts w:asciiTheme="majorHAnsi" w:hAnsiTheme="majorHAnsi" w:cstheme="majorHAnsi"/>
              </w:rPr>
            </w:pPr>
          </w:p>
        </w:tc>
        <w:tc>
          <w:tcPr>
            <w:tcW w:w="4680" w:type="dxa"/>
          </w:tcPr>
          <w:p w14:paraId="61C1B40A" w14:textId="77777777" w:rsidR="00DB2754" w:rsidRPr="00BC0756" w:rsidRDefault="00DB2754" w:rsidP="00A40DEB">
            <w:pPr>
              <w:rPr>
                <w:rFonts w:asciiTheme="majorHAnsi" w:hAnsiTheme="majorHAnsi" w:cstheme="majorHAnsi"/>
              </w:rPr>
            </w:pPr>
            <w:r w:rsidRPr="00BC0756">
              <w:rPr>
                <w:rFonts w:asciiTheme="majorHAnsi" w:hAnsiTheme="majorHAnsi" w:cstheme="majorHAnsi"/>
              </w:rPr>
              <w:t>Counseling (family, mental health, illicit drug use, alcohol use)</w:t>
            </w:r>
          </w:p>
        </w:tc>
      </w:tr>
      <w:tr w:rsidR="00DB2754" w:rsidRPr="00BC0756" w14:paraId="7B506AD0" w14:textId="77777777" w:rsidTr="00A40DEB">
        <w:tc>
          <w:tcPr>
            <w:tcW w:w="4225" w:type="dxa"/>
            <w:vMerge/>
          </w:tcPr>
          <w:p w14:paraId="1FBC3A2D" w14:textId="77777777" w:rsidR="00DB2754" w:rsidRPr="00BC0756" w:rsidRDefault="00DB2754" w:rsidP="00A40DEB">
            <w:pPr>
              <w:rPr>
                <w:rFonts w:asciiTheme="majorHAnsi" w:hAnsiTheme="majorHAnsi" w:cstheme="majorHAnsi"/>
              </w:rPr>
            </w:pPr>
          </w:p>
        </w:tc>
        <w:tc>
          <w:tcPr>
            <w:tcW w:w="4680" w:type="dxa"/>
          </w:tcPr>
          <w:p w14:paraId="131081CE" w14:textId="77777777" w:rsidR="00DB2754" w:rsidRPr="00BC0756" w:rsidRDefault="00DB2754" w:rsidP="00A40DEB">
            <w:pPr>
              <w:rPr>
                <w:rFonts w:asciiTheme="majorHAnsi" w:hAnsiTheme="majorHAnsi" w:cstheme="majorHAnsi"/>
              </w:rPr>
            </w:pPr>
            <w:r>
              <w:rPr>
                <w:rFonts w:asciiTheme="majorHAnsi" w:hAnsiTheme="majorHAnsi" w:cstheme="majorHAnsi"/>
              </w:rPr>
              <w:t>M</w:t>
            </w:r>
            <w:r w:rsidRPr="00BC0756">
              <w:rPr>
                <w:rFonts w:asciiTheme="majorHAnsi" w:hAnsiTheme="majorHAnsi" w:cstheme="majorHAnsi"/>
              </w:rPr>
              <w:t>edical care</w:t>
            </w:r>
            <w:r>
              <w:rPr>
                <w:rFonts w:asciiTheme="majorHAnsi" w:hAnsiTheme="majorHAnsi" w:cstheme="majorHAnsi"/>
              </w:rPr>
              <w:t xml:space="preserve"> </w:t>
            </w:r>
          </w:p>
        </w:tc>
      </w:tr>
    </w:tbl>
    <w:p w14:paraId="73EF0F2E" w14:textId="57B6E0F1" w:rsidR="00DB2754" w:rsidRDefault="00335DFD">
      <w:pPr>
        <w:rPr>
          <w:rFonts w:asciiTheme="majorHAnsi" w:hAnsiTheme="majorHAnsi" w:cstheme="majorHAnsi"/>
          <w:b/>
          <w:bCs/>
        </w:rPr>
      </w:pPr>
      <w:r>
        <w:rPr>
          <w:rFonts w:asciiTheme="majorHAnsi" w:hAnsiTheme="majorHAnsi" w:cstheme="majorHAnsi"/>
        </w:rPr>
        <w:t>Interview conducted on 11/</w:t>
      </w:r>
      <w:r w:rsidR="006B52E5">
        <w:rPr>
          <w:rFonts w:asciiTheme="majorHAnsi" w:hAnsiTheme="majorHAnsi" w:cstheme="majorHAnsi"/>
        </w:rPr>
        <w:t>18</w:t>
      </w:r>
      <w:r>
        <w:rPr>
          <w:rFonts w:asciiTheme="majorHAnsi" w:hAnsiTheme="majorHAnsi" w:cstheme="majorHAnsi"/>
        </w:rPr>
        <w:t xml:space="preserve">/2024 via phone.  Respondent is </w:t>
      </w:r>
      <w:proofErr w:type="gramStart"/>
      <w:r>
        <w:rPr>
          <w:rFonts w:asciiTheme="majorHAnsi" w:hAnsiTheme="majorHAnsi" w:cstheme="majorHAnsi"/>
        </w:rPr>
        <w:t>member</w:t>
      </w:r>
      <w:proofErr w:type="gramEnd"/>
      <w:r>
        <w:rPr>
          <w:rFonts w:asciiTheme="majorHAnsi" w:hAnsiTheme="majorHAnsi" w:cstheme="majorHAnsi"/>
        </w:rPr>
        <w:t xml:space="preserve"> of a county NGO and wished to remain anonymous for personal and professional reasons. </w:t>
      </w:r>
      <w:r w:rsidR="00DB2754">
        <w:rPr>
          <w:rFonts w:asciiTheme="majorHAnsi" w:hAnsiTheme="majorHAnsi" w:cstheme="majorHAnsi"/>
          <w:b/>
          <w:bCs/>
        </w:rPr>
        <w:br w:type="page"/>
      </w:r>
    </w:p>
    <w:p w14:paraId="4DF2095B" w14:textId="6059E690" w:rsidR="006C5682" w:rsidRPr="006C5682" w:rsidRDefault="00500913" w:rsidP="00D4376E">
      <w:pPr>
        <w:spacing w:line="360" w:lineRule="auto"/>
        <w:rPr>
          <w:rFonts w:asciiTheme="majorHAnsi" w:hAnsiTheme="majorHAnsi" w:cstheme="majorHAnsi"/>
          <w:b/>
          <w:bCs/>
        </w:rPr>
      </w:pPr>
      <w:r w:rsidRPr="006B5A1B">
        <w:rPr>
          <w:rFonts w:asciiTheme="majorHAnsi" w:hAnsiTheme="majorHAnsi" w:cstheme="majorHAnsi"/>
          <w:b/>
          <w:bCs/>
        </w:rPr>
        <w:lastRenderedPageBreak/>
        <w:t>Discussion</w:t>
      </w:r>
    </w:p>
    <w:p w14:paraId="2FFFAB05" w14:textId="21D91EF0" w:rsidR="00500913" w:rsidRDefault="00500913" w:rsidP="00D4376E">
      <w:pPr>
        <w:spacing w:line="360" w:lineRule="auto"/>
        <w:ind w:firstLine="720"/>
        <w:rPr>
          <w:rFonts w:asciiTheme="majorHAnsi" w:hAnsiTheme="majorHAnsi" w:cstheme="majorHAnsi"/>
          <w:shd w:val="clear" w:color="auto" w:fill="FFFFFF"/>
        </w:rPr>
      </w:pPr>
      <w:r w:rsidRPr="006B5A1B">
        <w:rPr>
          <w:rFonts w:asciiTheme="majorHAnsi" w:hAnsiTheme="majorHAnsi" w:cstheme="majorHAnsi"/>
          <w:shd w:val="clear" w:color="auto" w:fill="FFFFFF"/>
        </w:rPr>
        <w:t xml:space="preserve">This </w:t>
      </w:r>
      <w:r>
        <w:rPr>
          <w:rFonts w:asciiTheme="majorHAnsi" w:hAnsiTheme="majorHAnsi" w:cstheme="majorHAnsi"/>
          <w:shd w:val="clear" w:color="auto" w:fill="FFFFFF"/>
        </w:rPr>
        <w:t xml:space="preserve">research project provides several risk factors, outcomes, interventions, and government policies and programs that address youth homelessness within the US.  In reviewing the results several observations are important to highlight.  In risk factor results, race/ethnicity (“ethnic/racial minority”, n=9) was the top risk factor, suggesting a strong influence of race/ethnicity as a social determinant of youth homelessness.  In exploring outcomes, poor mental health (n=21), substance use disorder (n=13), and alcohol use disorder (n=8), were the top 3 outcomes.  This is noteworthy due to the link of substance use and alcohol abuse as </w:t>
      </w:r>
      <w:proofErr w:type="gramStart"/>
      <w:r>
        <w:rPr>
          <w:rFonts w:asciiTheme="majorHAnsi" w:hAnsiTheme="majorHAnsi" w:cstheme="majorHAnsi"/>
          <w:shd w:val="clear" w:color="auto" w:fill="FFFFFF"/>
        </w:rPr>
        <w:t>coping</w:t>
      </w:r>
      <w:proofErr w:type="gramEnd"/>
      <w:r>
        <w:rPr>
          <w:rFonts w:asciiTheme="majorHAnsi" w:hAnsiTheme="majorHAnsi" w:cstheme="majorHAnsi"/>
          <w:shd w:val="clear" w:color="auto" w:fill="FFFFFF"/>
        </w:rPr>
        <w:t xml:space="preserve"> mechanism for several mental health conditions such as depression, anxiety, and trauma</w:t>
      </w:r>
      <w:r w:rsidR="00335DFD">
        <w:rPr>
          <w:rFonts w:asciiTheme="majorHAnsi" w:hAnsiTheme="majorHAnsi" w:cstheme="majorHAnsi"/>
          <w:shd w:val="clear" w:color="auto" w:fill="FFFFFF"/>
          <w:vertAlign w:val="superscript"/>
        </w:rPr>
        <w:t>19-21</w:t>
      </w:r>
      <w:r>
        <w:rPr>
          <w:rFonts w:asciiTheme="majorHAnsi" w:hAnsiTheme="majorHAnsi" w:cstheme="majorHAnsi"/>
          <w:shd w:val="clear" w:color="auto" w:fill="FFFFFF"/>
        </w:rPr>
        <w:t xml:space="preserve">.  In reviewing both risk factors and outcomes, several findings were present in both such poor mental health, substance use/disorder, alcohol use/disorder, and experiences with abuse/violence.  The results for </w:t>
      </w:r>
      <w:proofErr w:type="gramStart"/>
      <w:r>
        <w:rPr>
          <w:rFonts w:asciiTheme="majorHAnsi" w:hAnsiTheme="majorHAnsi" w:cstheme="majorHAnsi"/>
          <w:shd w:val="clear" w:color="auto" w:fill="FFFFFF"/>
        </w:rPr>
        <w:t>interventions,</w:t>
      </w:r>
      <w:proofErr w:type="gramEnd"/>
      <w:r>
        <w:rPr>
          <w:rFonts w:asciiTheme="majorHAnsi" w:hAnsiTheme="majorHAnsi" w:cstheme="majorHAnsi"/>
          <w:shd w:val="clear" w:color="auto" w:fill="FFFFFF"/>
        </w:rPr>
        <w:t xml:space="preserve"> only included 2 findings</w:t>
      </w:r>
      <w:r>
        <w:rPr>
          <w:rFonts w:asciiTheme="majorHAnsi" w:hAnsiTheme="majorHAnsi" w:cstheme="majorHAnsi"/>
          <w:shd w:val="clear" w:color="auto" w:fill="FFFFFF"/>
          <w:vertAlign w:val="superscript"/>
        </w:rPr>
        <w:t>2</w:t>
      </w:r>
      <w:r w:rsidR="00335DFD">
        <w:rPr>
          <w:rFonts w:asciiTheme="majorHAnsi" w:hAnsiTheme="majorHAnsi" w:cstheme="majorHAnsi"/>
          <w:shd w:val="clear" w:color="auto" w:fill="FFFFFF"/>
          <w:vertAlign w:val="superscript"/>
        </w:rPr>
        <w:t>0</w:t>
      </w:r>
      <w:r>
        <w:rPr>
          <w:rFonts w:asciiTheme="majorHAnsi" w:hAnsiTheme="majorHAnsi" w:cstheme="majorHAnsi"/>
          <w:shd w:val="clear" w:color="auto" w:fill="FFFFFF"/>
          <w:vertAlign w:val="superscript"/>
        </w:rPr>
        <w:t>,4</w:t>
      </w:r>
      <w:r w:rsidR="00335DFD">
        <w:rPr>
          <w:rFonts w:asciiTheme="majorHAnsi" w:hAnsiTheme="majorHAnsi" w:cstheme="majorHAnsi"/>
          <w:shd w:val="clear" w:color="auto" w:fill="FFFFFF"/>
          <w:vertAlign w:val="superscript"/>
        </w:rPr>
        <w:t>2</w:t>
      </w:r>
      <w:r>
        <w:rPr>
          <w:rFonts w:asciiTheme="majorHAnsi" w:hAnsiTheme="majorHAnsi" w:cstheme="majorHAnsi"/>
          <w:shd w:val="clear" w:color="auto" w:fill="FFFFFF"/>
        </w:rPr>
        <w:t>, both addressing mental health.  Although the extent of the literature search was severally limited with an initial prescreened search population of 368 publications, the occurrence of mental health interventions as the only intervention findings should not be minimized given that mental health was found as the number 1 outcome and a top 5 risk factor of youth homelessness.  Together, these findings support the validity of the results, as well as the significance of mental health on YEH.</w:t>
      </w:r>
      <w:r w:rsidR="004E5A9D">
        <w:rPr>
          <w:rFonts w:asciiTheme="majorHAnsi" w:hAnsiTheme="majorHAnsi" w:cstheme="majorHAnsi"/>
          <w:shd w:val="clear" w:color="auto" w:fill="FFFFFF"/>
        </w:rPr>
        <w:t xml:space="preserve">  </w:t>
      </w:r>
      <w:r>
        <w:rPr>
          <w:rFonts w:asciiTheme="majorHAnsi" w:hAnsiTheme="majorHAnsi" w:cstheme="majorHAnsi"/>
          <w:shd w:val="clear" w:color="auto" w:fill="FFFFFF"/>
        </w:rPr>
        <w:t xml:space="preserve">In reviewing governmental programs, only 7 specifically addressed housing (n=7), while the two most common </w:t>
      </w:r>
      <w:proofErr w:type="gramStart"/>
      <w:r>
        <w:rPr>
          <w:rFonts w:asciiTheme="majorHAnsi" w:hAnsiTheme="majorHAnsi" w:cstheme="majorHAnsi"/>
          <w:shd w:val="clear" w:color="auto" w:fill="FFFFFF"/>
        </w:rPr>
        <w:t>program</w:t>
      </w:r>
      <w:proofErr w:type="gramEnd"/>
      <w:r>
        <w:rPr>
          <w:rFonts w:asciiTheme="majorHAnsi" w:hAnsiTheme="majorHAnsi" w:cstheme="majorHAnsi"/>
          <w:shd w:val="clear" w:color="auto" w:fill="FFFFFF"/>
        </w:rPr>
        <w:t xml:space="preserve"> focuses included supportive services (n=13) and nutritional support (n=10).  This suggests the government’s focus on approach YEH from a primary prevention strategy.  </w:t>
      </w:r>
      <w:r w:rsidR="004E5A9D">
        <w:rPr>
          <w:rFonts w:asciiTheme="majorHAnsi" w:hAnsiTheme="majorHAnsi" w:cstheme="majorHAnsi"/>
          <w:shd w:val="clear" w:color="auto" w:fill="FFFFFF"/>
        </w:rPr>
        <w:t xml:space="preserve">Another important observation is the addition of </w:t>
      </w:r>
      <w:r w:rsidR="00E71F47">
        <w:rPr>
          <w:rFonts w:asciiTheme="majorHAnsi" w:hAnsiTheme="majorHAnsi" w:cstheme="majorHAnsi"/>
          <w:shd w:val="clear" w:color="auto" w:fill="FFFFFF"/>
        </w:rPr>
        <w:t xml:space="preserve">only </w:t>
      </w:r>
      <w:r w:rsidR="004E5A9D">
        <w:rPr>
          <w:rFonts w:asciiTheme="majorHAnsi" w:hAnsiTheme="majorHAnsi" w:cstheme="majorHAnsi"/>
          <w:shd w:val="clear" w:color="auto" w:fill="FFFFFF"/>
        </w:rPr>
        <w:t xml:space="preserve">two new programs for FY 2024, </w:t>
      </w:r>
      <w:r w:rsidR="004E5A9D" w:rsidRPr="0068104D">
        <w:rPr>
          <w:rFonts w:asciiTheme="majorHAnsi" w:hAnsiTheme="majorHAnsi" w:cstheme="majorHAnsi"/>
        </w:rPr>
        <w:t>Summer Electronic Benefit Transfer (EBT) program </w:t>
      </w:r>
      <w:r w:rsidR="004E5A9D">
        <w:rPr>
          <w:rFonts w:asciiTheme="majorHAnsi" w:hAnsiTheme="majorHAnsi" w:cstheme="majorHAnsi"/>
        </w:rPr>
        <w:t xml:space="preserve">and </w:t>
      </w:r>
      <w:r w:rsidR="004E5A9D" w:rsidRPr="0068104D">
        <w:rPr>
          <w:rFonts w:asciiTheme="majorHAnsi" w:hAnsiTheme="majorHAnsi" w:cstheme="majorHAnsi"/>
        </w:rPr>
        <w:t>Summer Food Service Program (SFSP)</w:t>
      </w:r>
      <w:r w:rsidR="00E71F47">
        <w:rPr>
          <w:rFonts w:asciiTheme="majorHAnsi" w:hAnsiTheme="majorHAnsi" w:cstheme="majorHAnsi"/>
        </w:rPr>
        <w:t>, both addressing nutritional needs of youths</w:t>
      </w:r>
      <w:r w:rsidR="004E5A9D">
        <w:rPr>
          <w:rFonts w:asciiTheme="majorHAnsi" w:hAnsiTheme="majorHAnsi" w:cstheme="majorHAnsi"/>
        </w:rPr>
        <w:t>.</w:t>
      </w:r>
      <w:proofErr w:type="gramStart"/>
      <w:r w:rsidR="00335DFD">
        <w:rPr>
          <w:rFonts w:asciiTheme="majorHAnsi" w:hAnsiTheme="majorHAnsi" w:cstheme="majorHAnsi"/>
          <w:vertAlign w:val="superscript"/>
        </w:rPr>
        <w:t>17</w:t>
      </w:r>
      <w:r w:rsidR="004E5A9D">
        <w:rPr>
          <w:rFonts w:asciiTheme="majorHAnsi" w:hAnsiTheme="majorHAnsi" w:cstheme="majorHAnsi"/>
          <w:shd w:val="clear" w:color="auto" w:fill="FFFFFF"/>
        </w:rPr>
        <w:t xml:space="preserve">  The</w:t>
      </w:r>
      <w:proofErr w:type="gramEnd"/>
      <w:r w:rsidR="00E71F47">
        <w:rPr>
          <w:rFonts w:asciiTheme="majorHAnsi" w:hAnsiTheme="majorHAnsi" w:cstheme="majorHAnsi"/>
          <w:shd w:val="clear" w:color="auto" w:fill="FFFFFF"/>
        </w:rPr>
        <w:t xml:space="preserve"> addition of these two programs suggests a significant need for youth outside of the school year</w:t>
      </w:r>
      <w:r w:rsidR="004E5A9D">
        <w:rPr>
          <w:rFonts w:asciiTheme="majorHAnsi" w:hAnsiTheme="majorHAnsi" w:cstheme="majorHAnsi"/>
          <w:shd w:val="clear" w:color="auto" w:fill="FFFFFF"/>
        </w:rPr>
        <w:t xml:space="preserve">.  </w:t>
      </w:r>
      <w:r>
        <w:rPr>
          <w:rFonts w:asciiTheme="majorHAnsi" w:hAnsiTheme="majorHAnsi" w:cstheme="majorHAnsi"/>
          <w:shd w:val="clear" w:color="auto" w:fill="FFFFFF"/>
        </w:rPr>
        <w:t>Altogether these observations of this research project are important because they provide some context to the results, but more importantly create questions that can help lead future research on YEH.</w:t>
      </w:r>
      <w:r w:rsidR="00E71F47">
        <w:rPr>
          <w:rFonts w:asciiTheme="majorHAnsi" w:hAnsiTheme="majorHAnsi" w:cstheme="majorHAnsi"/>
          <w:shd w:val="clear" w:color="auto" w:fill="FFFFFF"/>
        </w:rPr>
        <w:t xml:space="preserve">  </w:t>
      </w:r>
      <w:r>
        <w:rPr>
          <w:rFonts w:asciiTheme="majorHAnsi" w:hAnsiTheme="majorHAnsi" w:cstheme="majorHAnsi"/>
          <w:shd w:val="clear" w:color="auto" w:fill="FFFFFF"/>
        </w:rPr>
        <w:t xml:space="preserve">The result of this study provides both </w:t>
      </w:r>
      <w:proofErr w:type="gramStart"/>
      <w:r>
        <w:rPr>
          <w:rFonts w:asciiTheme="majorHAnsi" w:hAnsiTheme="majorHAnsi" w:cstheme="majorHAnsi"/>
          <w:shd w:val="clear" w:color="auto" w:fill="FFFFFF"/>
        </w:rPr>
        <w:t>a solid</w:t>
      </w:r>
      <w:proofErr w:type="gramEnd"/>
      <w:r>
        <w:rPr>
          <w:rFonts w:asciiTheme="majorHAnsi" w:hAnsiTheme="majorHAnsi" w:cstheme="majorHAnsi"/>
          <w:shd w:val="clear" w:color="auto" w:fill="FFFFFF"/>
        </w:rPr>
        <w:t xml:space="preserve"> foundational knowledge on YEH and offer new questions to examine for future research, however it is important to discuss several limitations.</w:t>
      </w:r>
    </w:p>
    <w:p w14:paraId="5C468C4D" w14:textId="4E8D5DE1" w:rsidR="00500913" w:rsidRPr="00B07215" w:rsidRDefault="00500913" w:rsidP="00D4376E">
      <w:pPr>
        <w:spacing w:line="360" w:lineRule="auto"/>
        <w:ind w:firstLine="720"/>
        <w:rPr>
          <w:rFonts w:asciiTheme="majorHAnsi" w:hAnsiTheme="majorHAnsi" w:cstheme="majorHAnsi"/>
          <w:shd w:val="clear" w:color="auto" w:fill="FFFFFF"/>
        </w:rPr>
      </w:pPr>
      <w:r>
        <w:rPr>
          <w:rFonts w:asciiTheme="majorHAnsi" w:hAnsiTheme="majorHAnsi" w:cstheme="majorHAnsi"/>
          <w:shd w:val="clear" w:color="auto" w:fill="FFFFFF"/>
        </w:rPr>
        <w:t xml:space="preserve">This research project had a broad scope in terms of desired research objectives to be accomplished, in less than a 15-week timeframe.  Coupled with limited resources, significant compromises had to occur in terms of research design and adherence to the design protocols.  </w:t>
      </w:r>
      <w:r>
        <w:rPr>
          <w:rFonts w:asciiTheme="majorHAnsi" w:hAnsiTheme="majorHAnsi" w:cstheme="majorHAnsi"/>
          <w:shd w:val="clear" w:color="auto" w:fill="FFFFFF"/>
        </w:rPr>
        <w:lastRenderedPageBreak/>
        <w:t>Specifically, the utilization of a single source population of PubMed for the literature review and youth.gov for the content analysis, creates selection bias.  This selection bias is further complicated due to the use of one reviewer.  Additionally, the use of one reviewer increases the likelihood of human error in terms of data analysis of the sources.  These limitations could skew the results in terms of magnitude of the specific findings</w:t>
      </w:r>
      <w:r w:rsidR="00153B0C">
        <w:rPr>
          <w:rFonts w:asciiTheme="majorHAnsi" w:hAnsiTheme="majorHAnsi" w:cstheme="majorHAnsi"/>
          <w:shd w:val="clear" w:color="auto" w:fill="FFFFFF"/>
        </w:rPr>
        <w:t>.</w:t>
      </w:r>
      <w:r w:rsidR="00DB2754">
        <w:rPr>
          <w:rFonts w:asciiTheme="majorHAnsi" w:hAnsiTheme="majorHAnsi" w:cstheme="majorHAnsi"/>
          <w:shd w:val="clear" w:color="auto" w:fill="FFFFFF"/>
        </w:rPr>
        <w:t xml:space="preserve">  The interview also presented a significant limitation due to the request that it was done anonymously.  </w:t>
      </w:r>
    </w:p>
    <w:p w14:paraId="1981419D" w14:textId="1B9D829A" w:rsidR="00500913" w:rsidRDefault="00E71F47" w:rsidP="00D4376E">
      <w:pPr>
        <w:spacing w:line="360" w:lineRule="auto"/>
        <w:rPr>
          <w:rFonts w:asciiTheme="majorHAnsi" w:hAnsiTheme="majorHAnsi" w:cstheme="majorHAnsi"/>
          <w:b/>
          <w:bCs/>
        </w:rPr>
      </w:pPr>
      <w:r>
        <w:rPr>
          <w:rFonts w:asciiTheme="majorHAnsi" w:hAnsiTheme="majorHAnsi" w:cstheme="majorHAnsi"/>
          <w:b/>
          <w:bCs/>
        </w:rPr>
        <w:t>Recommendations</w:t>
      </w:r>
      <w:r w:rsidR="00CA7A2A">
        <w:rPr>
          <w:rFonts w:asciiTheme="majorHAnsi" w:hAnsiTheme="majorHAnsi" w:cstheme="majorHAnsi"/>
          <w:b/>
          <w:bCs/>
        </w:rPr>
        <w:t xml:space="preserve"> for Future Research</w:t>
      </w:r>
    </w:p>
    <w:p w14:paraId="69183912" w14:textId="0666E908" w:rsidR="00982950" w:rsidRDefault="00CA7A2A" w:rsidP="00D4376E">
      <w:pPr>
        <w:spacing w:line="360" w:lineRule="auto"/>
        <w:ind w:firstLine="720"/>
        <w:rPr>
          <w:rFonts w:asciiTheme="majorHAnsi" w:hAnsiTheme="majorHAnsi" w:cstheme="majorHAnsi"/>
        </w:rPr>
      </w:pPr>
      <w:r w:rsidRPr="00153B0C">
        <w:rPr>
          <w:rFonts w:asciiTheme="majorHAnsi" w:hAnsiTheme="majorHAnsi" w:cstheme="majorHAnsi"/>
        </w:rPr>
        <w:t xml:space="preserve">The findings of this research project provide a </w:t>
      </w:r>
      <w:r w:rsidR="00153B0C" w:rsidRPr="00153B0C">
        <w:rPr>
          <w:rFonts w:asciiTheme="majorHAnsi" w:hAnsiTheme="majorHAnsi" w:cstheme="majorHAnsi"/>
        </w:rPr>
        <w:t>solid</w:t>
      </w:r>
      <w:r w:rsidRPr="00153B0C">
        <w:rPr>
          <w:rFonts w:asciiTheme="majorHAnsi" w:hAnsiTheme="majorHAnsi" w:cstheme="majorHAnsi"/>
        </w:rPr>
        <w:t xml:space="preserve"> foundation for research on YEH however,</w:t>
      </w:r>
      <w:r w:rsidR="00153B0C">
        <w:rPr>
          <w:rFonts w:asciiTheme="majorHAnsi" w:hAnsiTheme="majorHAnsi" w:cstheme="majorHAnsi"/>
        </w:rPr>
        <w:t xml:space="preserve"> despite the limitation on the results.  Given the research</w:t>
      </w:r>
      <w:r w:rsidR="00982950">
        <w:rPr>
          <w:rFonts w:asciiTheme="majorHAnsi" w:hAnsiTheme="majorHAnsi" w:cstheme="majorHAnsi"/>
        </w:rPr>
        <w:t xml:space="preserve"> project’s</w:t>
      </w:r>
      <w:r w:rsidR="00153B0C">
        <w:rPr>
          <w:rFonts w:asciiTheme="majorHAnsi" w:hAnsiTheme="majorHAnsi" w:cstheme="majorHAnsi"/>
        </w:rPr>
        <w:t xml:space="preserve"> </w:t>
      </w:r>
      <w:proofErr w:type="gramStart"/>
      <w:r w:rsidR="00982950">
        <w:rPr>
          <w:rFonts w:asciiTheme="majorHAnsi" w:hAnsiTheme="majorHAnsi" w:cstheme="majorHAnsi"/>
        </w:rPr>
        <w:t>limitations</w:t>
      </w:r>
      <w:proofErr w:type="gramEnd"/>
      <w:r w:rsidR="00153B0C">
        <w:rPr>
          <w:rFonts w:asciiTheme="majorHAnsi" w:hAnsiTheme="majorHAnsi" w:cstheme="majorHAnsi"/>
        </w:rPr>
        <w:t xml:space="preserve"> a </w:t>
      </w:r>
      <w:r w:rsidR="00982950">
        <w:rPr>
          <w:rFonts w:asciiTheme="majorHAnsi" w:hAnsiTheme="majorHAnsi" w:cstheme="majorHAnsi"/>
        </w:rPr>
        <w:t xml:space="preserve">recommendation for future research </w:t>
      </w:r>
      <w:r w:rsidR="009C42BA">
        <w:rPr>
          <w:rFonts w:asciiTheme="majorHAnsi" w:hAnsiTheme="majorHAnsi" w:cstheme="majorHAnsi"/>
        </w:rPr>
        <w:t>consists</w:t>
      </w:r>
      <w:r w:rsidR="00982950">
        <w:rPr>
          <w:rFonts w:asciiTheme="majorHAnsi" w:hAnsiTheme="majorHAnsi" w:cstheme="majorHAnsi"/>
        </w:rPr>
        <w:t xml:space="preserve"> of simply repeat a similar research design utilizing different search queries or different search databases.  </w:t>
      </w:r>
      <w:r w:rsidR="00153B0C">
        <w:rPr>
          <w:rFonts w:asciiTheme="majorHAnsi" w:hAnsiTheme="majorHAnsi" w:cstheme="majorHAnsi"/>
        </w:rPr>
        <w:t xml:space="preserve"> </w:t>
      </w:r>
      <w:r w:rsidR="00982950">
        <w:rPr>
          <w:rFonts w:asciiTheme="majorHAnsi" w:hAnsiTheme="majorHAnsi" w:cstheme="majorHAnsi"/>
        </w:rPr>
        <w:t xml:space="preserve">In conducting similar research, one could compare results, ultimately leading to an </w:t>
      </w:r>
      <w:r w:rsidR="00153B0C">
        <w:rPr>
          <w:rFonts w:asciiTheme="majorHAnsi" w:hAnsiTheme="majorHAnsi" w:cstheme="majorHAnsi"/>
        </w:rPr>
        <w:t xml:space="preserve">increase </w:t>
      </w:r>
      <w:r w:rsidR="00982950">
        <w:rPr>
          <w:rFonts w:asciiTheme="majorHAnsi" w:hAnsiTheme="majorHAnsi" w:cstheme="majorHAnsi"/>
        </w:rPr>
        <w:t>level of</w:t>
      </w:r>
      <w:r w:rsidR="00153B0C">
        <w:rPr>
          <w:rFonts w:asciiTheme="majorHAnsi" w:hAnsiTheme="majorHAnsi" w:cstheme="majorHAnsi"/>
        </w:rPr>
        <w:t xml:space="preserve"> </w:t>
      </w:r>
      <w:r w:rsidR="00982950">
        <w:rPr>
          <w:rFonts w:asciiTheme="majorHAnsi" w:hAnsiTheme="majorHAnsi" w:cstheme="majorHAnsi"/>
        </w:rPr>
        <w:t>research accuracy and validity</w:t>
      </w:r>
      <w:r w:rsidR="00153B0C">
        <w:rPr>
          <w:rFonts w:asciiTheme="majorHAnsi" w:hAnsiTheme="majorHAnsi" w:cstheme="majorHAnsi"/>
        </w:rPr>
        <w:t xml:space="preserve"> of </w:t>
      </w:r>
      <w:r w:rsidR="00982950">
        <w:rPr>
          <w:rFonts w:asciiTheme="majorHAnsi" w:hAnsiTheme="majorHAnsi" w:cstheme="majorHAnsi"/>
        </w:rPr>
        <w:t>findings</w:t>
      </w:r>
      <w:r w:rsidR="00153B0C">
        <w:rPr>
          <w:rFonts w:asciiTheme="majorHAnsi" w:hAnsiTheme="majorHAnsi" w:cstheme="majorHAnsi"/>
        </w:rPr>
        <w:t>.</w:t>
      </w:r>
      <w:r w:rsidR="00982950">
        <w:rPr>
          <w:rFonts w:asciiTheme="majorHAnsi" w:hAnsiTheme="majorHAnsi" w:cstheme="majorHAnsi"/>
        </w:rPr>
        <w:t xml:space="preserve">  In addition to </w:t>
      </w:r>
      <w:r w:rsidR="002573BE">
        <w:rPr>
          <w:rFonts w:asciiTheme="majorHAnsi" w:hAnsiTheme="majorHAnsi" w:cstheme="majorHAnsi"/>
        </w:rPr>
        <w:t>utilizing</w:t>
      </w:r>
      <w:r w:rsidR="00982950">
        <w:rPr>
          <w:rFonts w:asciiTheme="majorHAnsi" w:hAnsiTheme="majorHAnsi" w:cstheme="majorHAnsi"/>
        </w:rPr>
        <w:t xml:space="preserve"> similar methodologies, conducting research utilizing different </w:t>
      </w:r>
      <w:r w:rsidR="002573BE">
        <w:rPr>
          <w:rFonts w:asciiTheme="majorHAnsi" w:hAnsiTheme="majorHAnsi" w:cstheme="majorHAnsi"/>
        </w:rPr>
        <w:t>methodologies</w:t>
      </w:r>
      <w:r w:rsidR="00982950">
        <w:rPr>
          <w:rFonts w:asciiTheme="majorHAnsi" w:hAnsiTheme="majorHAnsi" w:cstheme="majorHAnsi"/>
        </w:rPr>
        <w:t xml:space="preserve"> could help fill gaps.</w:t>
      </w:r>
    </w:p>
    <w:p w14:paraId="3A5092A6" w14:textId="0A9D6D37" w:rsidR="00982950" w:rsidRDefault="002573BE" w:rsidP="00D4376E">
      <w:pPr>
        <w:spacing w:line="360" w:lineRule="auto"/>
        <w:ind w:firstLine="720"/>
        <w:rPr>
          <w:rFonts w:asciiTheme="majorHAnsi" w:hAnsiTheme="majorHAnsi" w:cstheme="majorHAnsi"/>
        </w:rPr>
      </w:pPr>
      <w:r>
        <w:rPr>
          <w:rFonts w:asciiTheme="majorHAnsi" w:hAnsiTheme="majorHAnsi" w:cstheme="majorHAnsi"/>
        </w:rPr>
        <w:t>Utilizing</w:t>
      </w:r>
      <w:r w:rsidR="00982950">
        <w:rPr>
          <w:rFonts w:asciiTheme="majorHAnsi" w:hAnsiTheme="majorHAnsi" w:cstheme="majorHAnsi"/>
        </w:rPr>
        <w:t xml:space="preserve"> different research methods, such as </w:t>
      </w:r>
      <w:r>
        <w:rPr>
          <w:rFonts w:asciiTheme="majorHAnsi" w:hAnsiTheme="majorHAnsi" w:cstheme="majorHAnsi"/>
        </w:rPr>
        <w:t>qualitative</w:t>
      </w:r>
      <w:r w:rsidR="00982950">
        <w:rPr>
          <w:rFonts w:asciiTheme="majorHAnsi" w:hAnsiTheme="majorHAnsi" w:cstheme="majorHAnsi"/>
        </w:rPr>
        <w:t xml:space="preserve"> methods, could help provide context that could not be obtained from </w:t>
      </w:r>
      <w:r>
        <w:rPr>
          <w:rFonts w:asciiTheme="majorHAnsi" w:hAnsiTheme="majorHAnsi" w:cstheme="majorHAnsi"/>
        </w:rPr>
        <w:t xml:space="preserve">the methodologies used in this research project.  The use of interviews or surveys could be an effective research methodology.  This research </w:t>
      </w:r>
      <w:proofErr w:type="gramStart"/>
      <w:r>
        <w:rPr>
          <w:rFonts w:asciiTheme="majorHAnsi" w:hAnsiTheme="majorHAnsi" w:cstheme="majorHAnsi"/>
        </w:rPr>
        <w:t>project did attempt</w:t>
      </w:r>
      <w:proofErr w:type="gramEnd"/>
      <w:r>
        <w:rPr>
          <w:rFonts w:asciiTheme="majorHAnsi" w:hAnsiTheme="majorHAnsi" w:cstheme="majorHAnsi"/>
        </w:rPr>
        <w:t xml:space="preserve"> to conduct interviews with various organizations.  In fact, a total of 20 attempts were made with only </w:t>
      </w:r>
      <w:r w:rsidR="00335DFD">
        <w:rPr>
          <w:rFonts w:asciiTheme="majorHAnsi" w:hAnsiTheme="majorHAnsi" w:cstheme="majorHAnsi"/>
        </w:rPr>
        <w:t>1</w:t>
      </w:r>
      <w:r>
        <w:rPr>
          <w:rFonts w:asciiTheme="majorHAnsi" w:hAnsiTheme="majorHAnsi" w:cstheme="majorHAnsi"/>
        </w:rPr>
        <w:t xml:space="preserve"> </w:t>
      </w:r>
      <w:r w:rsidR="009C42BA">
        <w:rPr>
          <w:rFonts w:asciiTheme="majorHAnsi" w:hAnsiTheme="majorHAnsi" w:cstheme="majorHAnsi"/>
        </w:rPr>
        <w:t>willing</w:t>
      </w:r>
      <w:r>
        <w:rPr>
          <w:rFonts w:asciiTheme="majorHAnsi" w:hAnsiTheme="majorHAnsi" w:cstheme="majorHAnsi"/>
        </w:rPr>
        <w:t xml:space="preserve"> provide insight</w:t>
      </w:r>
      <w:r w:rsidR="009C42BA">
        <w:rPr>
          <w:rFonts w:asciiTheme="majorHAnsi" w:hAnsiTheme="majorHAnsi" w:cstheme="majorHAnsi"/>
        </w:rPr>
        <w:t>,</w:t>
      </w:r>
      <w:r>
        <w:rPr>
          <w:rFonts w:asciiTheme="majorHAnsi" w:hAnsiTheme="majorHAnsi" w:cstheme="majorHAnsi"/>
        </w:rPr>
        <w:t xml:space="preserve"> </w:t>
      </w:r>
      <w:r w:rsidR="009C42BA">
        <w:rPr>
          <w:rFonts w:asciiTheme="majorHAnsi" w:hAnsiTheme="majorHAnsi" w:cstheme="majorHAnsi"/>
        </w:rPr>
        <w:t>anonymously</w:t>
      </w:r>
      <w:r>
        <w:rPr>
          <w:rFonts w:asciiTheme="majorHAnsi" w:hAnsiTheme="majorHAnsi" w:cstheme="majorHAnsi"/>
        </w:rPr>
        <w:t>.  The challenges of conducting research on YEH is well known</w:t>
      </w:r>
      <w:r w:rsidR="00A21850">
        <w:rPr>
          <w:rFonts w:asciiTheme="majorHAnsi" w:hAnsiTheme="majorHAnsi" w:cstheme="majorHAnsi"/>
        </w:rPr>
        <w:t>, with many ethical challenges due to the vulnerable nature of the population</w:t>
      </w:r>
      <w:r w:rsidR="00A21850">
        <w:rPr>
          <w:rFonts w:asciiTheme="majorHAnsi" w:hAnsiTheme="majorHAnsi" w:cstheme="majorHAnsi"/>
          <w:vertAlign w:val="superscript"/>
        </w:rPr>
        <w:t>63,64,65</w:t>
      </w:r>
      <w:r>
        <w:rPr>
          <w:rFonts w:asciiTheme="majorHAnsi" w:hAnsiTheme="majorHAnsi" w:cstheme="majorHAnsi"/>
        </w:rPr>
        <w:t>.  However, some organizations have been successful with utilizing technology to help provide confidentiality and obtain research data</w:t>
      </w:r>
      <w:r w:rsidR="00DB2754">
        <w:rPr>
          <w:rFonts w:asciiTheme="majorHAnsi" w:hAnsiTheme="majorHAnsi" w:cstheme="majorHAnsi"/>
        </w:rPr>
        <w:t xml:space="preserve">, such as </w:t>
      </w:r>
      <w:r w:rsidR="00A21850">
        <w:rPr>
          <w:rFonts w:asciiTheme="majorHAnsi" w:hAnsiTheme="majorHAnsi" w:cstheme="majorHAnsi"/>
        </w:rPr>
        <w:t>National Alliance to End Homelessness</w:t>
      </w:r>
      <w:r w:rsidR="008A34C6">
        <w:rPr>
          <w:rFonts w:asciiTheme="majorHAnsi" w:hAnsiTheme="majorHAnsi" w:cstheme="majorHAnsi"/>
        </w:rPr>
        <w:t xml:space="preserve"> who uses technology to encourage anonymous, minimally invasive data collection</w:t>
      </w:r>
      <w:r>
        <w:rPr>
          <w:rFonts w:asciiTheme="majorHAnsi" w:hAnsiTheme="majorHAnsi" w:cstheme="majorHAnsi"/>
        </w:rPr>
        <w:t>.</w:t>
      </w:r>
      <w:r w:rsidR="008A34C6">
        <w:rPr>
          <w:rFonts w:asciiTheme="majorHAnsi" w:hAnsiTheme="majorHAnsi" w:cstheme="majorHAnsi"/>
          <w:vertAlign w:val="superscript"/>
        </w:rPr>
        <w:t>65</w:t>
      </w:r>
      <w:r>
        <w:rPr>
          <w:rFonts w:asciiTheme="majorHAnsi" w:hAnsiTheme="majorHAnsi" w:cstheme="majorHAnsi"/>
        </w:rPr>
        <w:t xml:space="preserve">  </w:t>
      </w:r>
      <w:r w:rsidR="008A34C6">
        <w:rPr>
          <w:rFonts w:asciiTheme="majorHAnsi" w:hAnsiTheme="majorHAnsi" w:cstheme="majorHAnsi"/>
        </w:rPr>
        <w:t>This type of data collection method could be a great method to conduct further research</w:t>
      </w:r>
      <w:r>
        <w:rPr>
          <w:rFonts w:asciiTheme="majorHAnsi" w:hAnsiTheme="majorHAnsi" w:cstheme="majorHAnsi"/>
        </w:rPr>
        <w:t xml:space="preserve">.  In addition to utilizing different research methodologies, focusing on new research questions could also be beneficial.   </w:t>
      </w:r>
    </w:p>
    <w:p w14:paraId="3E4B06E3" w14:textId="452B5B1C" w:rsidR="00CA7A2A" w:rsidRPr="00153B0C" w:rsidRDefault="002573BE" w:rsidP="00D4376E">
      <w:pPr>
        <w:spacing w:line="360" w:lineRule="auto"/>
        <w:ind w:firstLine="720"/>
        <w:rPr>
          <w:rFonts w:asciiTheme="majorHAnsi" w:hAnsiTheme="majorHAnsi" w:cstheme="majorHAnsi"/>
        </w:rPr>
      </w:pPr>
      <w:r>
        <w:rPr>
          <w:rFonts w:asciiTheme="majorHAnsi" w:hAnsiTheme="majorHAnsi" w:cstheme="majorHAnsi"/>
        </w:rPr>
        <w:t>T</w:t>
      </w:r>
      <w:r w:rsidR="00153B0C">
        <w:rPr>
          <w:rFonts w:asciiTheme="majorHAnsi" w:hAnsiTheme="majorHAnsi" w:cstheme="majorHAnsi"/>
        </w:rPr>
        <w:t xml:space="preserve">his research </w:t>
      </w:r>
      <w:r w:rsidR="008A34C6">
        <w:rPr>
          <w:rFonts w:asciiTheme="majorHAnsi" w:hAnsiTheme="majorHAnsi" w:cstheme="majorHAnsi"/>
        </w:rPr>
        <w:t>found</w:t>
      </w:r>
      <w:r w:rsidR="00153B0C">
        <w:rPr>
          <w:rFonts w:asciiTheme="majorHAnsi" w:hAnsiTheme="majorHAnsi" w:cstheme="majorHAnsi"/>
        </w:rPr>
        <w:t xml:space="preserve"> some </w:t>
      </w:r>
      <w:r w:rsidR="008A34C6">
        <w:rPr>
          <w:rFonts w:asciiTheme="majorHAnsi" w:hAnsiTheme="majorHAnsi" w:cstheme="majorHAnsi"/>
        </w:rPr>
        <w:t xml:space="preserve">themes and trends </w:t>
      </w:r>
      <w:r w:rsidR="00153B0C">
        <w:rPr>
          <w:rFonts w:asciiTheme="majorHAnsi" w:hAnsiTheme="majorHAnsi" w:cstheme="majorHAnsi"/>
        </w:rPr>
        <w:t xml:space="preserve">that may be worth investigating </w:t>
      </w:r>
      <w:r>
        <w:rPr>
          <w:rFonts w:asciiTheme="majorHAnsi" w:hAnsiTheme="majorHAnsi" w:cstheme="majorHAnsi"/>
        </w:rPr>
        <w:t>in new research efforts</w:t>
      </w:r>
      <w:r w:rsidR="00153B0C">
        <w:rPr>
          <w:rFonts w:asciiTheme="majorHAnsi" w:hAnsiTheme="majorHAnsi" w:cstheme="majorHAnsi"/>
        </w:rPr>
        <w:t xml:space="preserve">.  </w:t>
      </w:r>
      <w:r w:rsidR="00982950">
        <w:rPr>
          <w:rFonts w:asciiTheme="majorHAnsi" w:hAnsiTheme="majorHAnsi" w:cstheme="majorHAnsi"/>
        </w:rPr>
        <w:t>Specifically</w:t>
      </w:r>
      <w:r w:rsidR="00153B0C">
        <w:rPr>
          <w:rFonts w:asciiTheme="majorHAnsi" w:hAnsiTheme="majorHAnsi" w:cstheme="majorHAnsi"/>
        </w:rPr>
        <w:t xml:space="preserve">, the importance of family dynamics may be a worthwhile research project as it pertains to youth homelessness.  </w:t>
      </w:r>
      <w:r w:rsidR="008A34C6">
        <w:rPr>
          <w:rFonts w:asciiTheme="majorHAnsi" w:hAnsiTheme="majorHAnsi" w:cstheme="majorHAnsi"/>
        </w:rPr>
        <w:t xml:space="preserve">In reviewing risk factors of youth homelessness, an observed theme is family instability as a risk for youth homelessness. Thus, </w:t>
      </w:r>
      <w:r w:rsidR="00153B0C">
        <w:rPr>
          <w:rFonts w:asciiTheme="majorHAnsi" w:hAnsiTheme="majorHAnsi" w:cstheme="majorHAnsi"/>
        </w:rPr>
        <w:t xml:space="preserve">a </w:t>
      </w:r>
      <w:r w:rsidR="008A34C6">
        <w:rPr>
          <w:rFonts w:asciiTheme="majorHAnsi" w:hAnsiTheme="majorHAnsi" w:cstheme="majorHAnsi"/>
        </w:rPr>
        <w:t xml:space="preserve">future potential research hypothesis could be that a </w:t>
      </w:r>
      <w:r w:rsidR="00153B0C">
        <w:rPr>
          <w:rFonts w:asciiTheme="majorHAnsi" w:hAnsiTheme="majorHAnsi" w:cstheme="majorHAnsi"/>
        </w:rPr>
        <w:t xml:space="preserve">family </w:t>
      </w:r>
      <w:r w:rsidR="008A34C6">
        <w:rPr>
          <w:rFonts w:asciiTheme="majorHAnsi" w:hAnsiTheme="majorHAnsi" w:cstheme="majorHAnsi"/>
        </w:rPr>
        <w:t>that</w:t>
      </w:r>
      <w:r w:rsidR="00153B0C">
        <w:rPr>
          <w:rFonts w:asciiTheme="majorHAnsi" w:hAnsiTheme="majorHAnsi" w:cstheme="majorHAnsi"/>
        </w:rPr>
        <w:t xml:space="preserve"> provides a peaceful, respectful, and loving </w:t>
      </w:r>
      <w:r w:rsidR="00153B0C">
        <w:rPr>
          <w:rFonts w:asciiTheme="majorHAnsi" w:hAnsiTheme="majorHAnsi" w:cstheme="majorHAnsi"/>
        </w:rPr>
        <w:lastRenderedPageBreak/>
        <w:t xml:space="preserve">environment could reduce the odds of producing </w:t>
      </w:r>
      <w:proofErr w:type="gramStart"/>
      <w:r w:rsidR="00153B0C">
        <w:rPr>
          <w:rFonts w:asciiTheme="majorHAnsi" w:hAnsiTheme="majorHAnsi" w:cstheme="majorHAnsi"/>
        </w:rPr>
        <w:t>a homeless</w:t>
      </w:r>
      <w:proofErr w:type="gramEnd"/>
      <w:r w:rsidR="00153B0C">
        <w:rPr>
          <w:rFonts w:asciiTheme="majorHAnsi" w:hAnsiTheme="majorHAnsi" w:cstheme="majorHAnsi"/>
        </w:rPr>
        <w:t xml:space="preserve"> youth.  In addition to family</w:t>
      </w:r>
      <w:r w:rsidR="00982950">
        <w:rPr>
          <w:rFonts w:asciiTheme="majorHAnsi" w:hAnsiTheme="majorHAnsi" w:cstheme="majorHAnsi"/>
        </w:rPr>
        <w:t xml:space="preserve"> dynamics</w:t>
      </w:r>
      <w:r w:rsidR="00153B0C">
        <w:rPr>
          <w:rFonts w:asciiTheme="majorHAnsi" w:hAnsiTheme="majorHAnsi" w:cstheme="majorHAnsi"/>
        </w:rPr>
        <w:t xml:space="preserve">, another possible area of </w:t>
      </w:r>
      <w:r w:rsidR="00982950">
        <w:rPr>
          <w:rFonts w:asciiTheme="majorHAnsi" w:hAnsiTheme="majorHAnsi" w:cstheme="majorHAnsi"/>
        </w:rPr>
        <w:t>research</w:t>
      </w:r>
      <w:r w:rsidR="00153B0C">
        <w:rPr>
          <w:rFonts w:asciiTheme="majorHAnsi" w:hAnsiTheme="majorHAnsi" w:cstheme="majorHAnsi"/>
        </w:rPr>
        <w:t xml:space="preserve"> could focus on </w:t>
      </w:r>
      <w:r w:rsidR="00982950">
        <w:rPr>
          <w:rFonts w:asciiTheme="majorHAnsi" w:hAnsiTheme="majorHAnsi" w:cstheme="majorHAnsi"/>
        </w:rPr>
        <w:t xml:space="preserve">the influence of </w:t>
      </w:r>
      <w:r w:rsidR="00153B0C">
        <w:rPr>
          <w:rFonts w:asciiTheme="majorHAnsi" w:hAnsiTheme="majorHAnsi" w:cstheme="majorHAnsi"/>
        </w:rPr>
        <w:t xml:space="preserve">values.  For example, adherence of Christian religious values regarding </w:t>
      </w:r>
      <w:r w:rsidR="00982950">
        <w:rPr>
          <w:rFonts w:asciiTheme="majorHAnsi" w:hAnsiTheme="majorHAnsi" w:cstheme="majorHAnsi"/>
        </w:rPr>
        <w:t>bodily sacredness regarding to foreign substances</w:t>
      </w:r>
      <w:r w:rsidR="00153B0C">
        <w:rPr>
          <w:rFonts w:asciiTheme="majorHAnsi" w:hAnsiTheme="majorHAnsi" w:cstheme="majorHAnsi"/>
        </w:rPr>
        <w:t xml:space="preserve"> and sexual conduct, could act as a protective factor against certain risk such as alcohol </w:t>
      </w:r>
      <w:r w:rsidR="00982950">
        <w:rPr>
          <w:rFonts w:asciiTheme="majorHAnsi" w:hAnsiTheme="majorHAnsi" w:cstheme="majorHAnsi"/>
        </w:rPr>
        <w:t>use</w:t>
      </w:r>
      <w:r w:rsidR="00153B0C">
        <w:rPr>
          <w:rFonts w:asciiTheme="majorHAnsi" w:hAnsiTheme="majorHAnsi" w:cstheme="majorHAnsi"/>
        </w:rPr>
        <w:t>,</w:t>
      </w:r>
      <w:r w:rsidR="00982950">
        <w:rPr>
          <w:rFonts w:asciiTheme="majorHAnsi" w:hAnsiTheme="majorHAnsi" w:cstheme="majorHAnsi"/>
        </w:rPr>
        <w:t xml:space="preserve"> </w:t>
      </w:r>
      <w:r w:rsidR="00153B0C">
        <w:rPr>
          <w:rFonts w:asciiTheme="majorHAnsi" w:hAnsiTheme="majorHAnsi" w:cstheme="majorHAnsi"/>
        </w:rPr>
        <w:t xml:space="preserve">substance use, </w:t>
      </w:r>
      <w:r w:rsidR="00982950">
        <w:rPr>
          <w:rFonts w:asciiTheme="majorHAnsi" w:hAnsiTheme="majorHAnsi" w:cstheme="majorHAnsi"/>
        </w:rPr>
        <w:t xml:space="preserve">pregnancy, and </w:t>
      </w:r>
      <w:r w:rsidR="008A34C6">
        <w:rPr>
          <w:rFonts w:asciiTheme="majorHAnsi" w:hAnsiTheme="majorHAnsi" w:cstheme="majorHAnsi"/>
        </w:rPr>
        <w:t xml:space="preserve">potentially </w:t>
      </w:r>
      <w:r w:rsidR="00982950">
        <w:rPr>
          <w:rFonts w:asciiTheme="majorHAnsi" w:hAnsiTheme="majorHAnsi" w:cstheme="majorHAnsi"/>
        </w:rPr>
        <w:t xml:space="preserve">LGBTQ+ status.  </w:t>
      </w:r>
    </w:p>
    <w:p w14:paraId="5C80EEEC" w14:textId="77777777" w:rsidR="009C42BA" w:rsidRPr="006B5A1B" w:rsidRDefault="009C42BA" w:rsidP="009C42BA">
      <w:pPr>
        <w:spacing w:line="360" w:lineRule="auto"/>
        <w:rPr>
          <w:rFonts w:asciiTheme="majorHAnsi" w:hAnsiTheme="majorHAnsi" w:cstheme="majorHAnsi"/>
          <w:b/>
          <w:bCs/>
        </w:rPr>
      </w:pPr>
      <w:r w:rsidRPr="006B5A1B">
        <w:rPr>
          <w:rFonts w:asciiTheme="majorHAnsi" w:hAnsiTheme="majorHAnsi" w:cstheme="majorHAnsi"/>
          <w:b/>
          <w:bCs/>
        </w:rPr>
        <w:t>Conclusion</w:t>
      </w:r>
    </w:p>
    <w:p w14:paraId="595ACCE4" w14:textId="22C53F3C" w:rsidR="009C42BA" w:rsidRDefault="009C42BA" w:rsidP="009C42BA">
      <w:pPr>
        <w:spacing w:line="360" w:lineRule="auto"/>
        <w:ind w:firstLine="720"/>
        <w:rPr>
          <w:rFonts w:asciiTheme="majorHAnsi" w:hAnsiTheme="majorHAnsi" w:cstheme="majorHAnsi"/>
        </w:rPr>
      </w:pPr>
      <w:r w:rsidRPr="006B5A1B">
        <w:rPr>
          <w:rFonts w:asciiTheme="majorHAnsi" w:hAnsiTheme="majorHAnsi" w:cstheme="majorHAnsi"/>
        </w:rPr>
        <w:t xml:space="preserve">Youth homelessness within the </w:t>
      </w:r>
      <w:proofErr w:type="gramStart"/>
      <w:r w:rsidRPr="006B5A1B">
        <w:rPr>
          <w:rFonts w:asciiTheme="majorHAnsi" w:hAnsiTheme="majorHAnsi" w:cstheme="majorHAnsi"/>
        </w:rPr>
        <w:t>US,</w:t>
      </w:r>
      <w:proofErr w:type="gramEnd"/>
      <w:r w:rsidRPr="006B5A1B">
        <w:rPr>
          <w:rFonts w:asciiTheme="majorHAnsi" w:hAnsiTheme="majorHAnsi" w:cstheme="majorHAnsi"/>
        </w:rPr>
        <w:t xml:space="preserve"> continues to impact thousands across the nation</w:t>
      </w:r>
      <w:r>
        <w:rPr>
          <w:rFonts w:asciiTheme="majorHAnsi" w:hAnsiTheme="majorHAnsi" w:cstheme="majorHAnsi"/>
        </w:rPr>
        <w:t>, with an annual average increase of 4% since SY 2004-05</w:t>
      </w:r>
      <w:r w:rsidRPr="006B5A1B">
        <w:rPr>
          <w:rFonts w:asciiTheme="majorHAnsi" w:hAnsiTheme="majorHAnsi" w:cstheme="majorHAnsi"/>
        </w:rPr>
        <w:t>.</w:t>
      </w:r>
      <w:proofErr w:type="gramStart"/>
      <w:r>
        <w:rPr>
          <w:rFonts w:asciiTheme="majorHAnsi" w:hAnsiTheme="majorHAnsi" w:cstheme="majorHAnsi"/>
          <w:vertAlign w:val="superscript"/>
        </w:rPr>
        <w:t>4</w:t>
      </w:r>
      <w:r w:rsidRPr="006B5A1B">
        <w:rPr>
          <w:rFonts w:asciiTheme="majorHAnsi" w:hAnsiTheme="majorHAnsi" w:cstheme="majorHAnsi"/>
        </w:rPr>
        <w:t xml:space="preserve">  Despite</w:t>
      </w:r>
      <w:proofErr w:type="gramEnd"/>
      <w:r w:rsidRPr="006B5A1B">
        <w:rPr>
          <w:rFonts w:asciiTheme="majorHAnsi" w:hAnsiTheme="majorHAnsi" w:cstheme="majorHAnsi"/>
        </w:rPr>
        <w:t xml:space="preserve"> </w:t>
      </w:r>
      <w:r>
        <w:rPr>
          <w:rFonts w:asciiTheme="majorHAnsi" w:hAnsiTheme="majorHAnsi" w:cstheme="majorHAnsi"/>
        </w:rPr>
        <w:t xml:space="preserve">legislative efforts like </w:t>
      </w:r>
      <w:r w:rsidRPr="006B5A1B">
        <w:rPr>
          <w:rFonts w:asciiTheme="majorHAnsi" w:hAnsiTheme="majorHAnsi" w:cstheme="majorHAnsi"/>
        </w:rPr>
        <w:t>The McKinney Homeless Assistance Act of 1987</w:t>
      </w:r>
      <w:r>
        <w:rPr>
          <w:rFonts w:asciiTheme="majorHAnsi" w:hAnsiTheme="majorHAnsi" w:cstheme="majorHAnsi"/>
        </w:rPr>
        <w:t xml:space="preserve"> and the creation of several government programs and policies, more must be done to address the public health issue of youth homelessness.  This research project, through literature review</w:t>
      </w:r>
      <w:r w:rsidR="007553B7">
        <w:rPr>
          <w:rFonts w:asciiTheme="majorHAnsi" w:hAnsiTheme="majorHAnsi" w:cstheme="majorHAnsi"/>
        </w:rPr>
        <w:t xml:space="preserve">, </w:t>
      </w:r>
      <w:r>
        <w:rPr>
          <w:rFonts w:asciiTheme="majorHAnsi" w:hAnsiTheme="majorHAnsi" w:cstheme="majorHAnsi"/>
        </w:rPr>
        <w:t>content analysis</w:t>
      </w:r>
      <w:r w:rsidR="007553B7">
        <w:rPr>
          <w:rFonts w:asciiTheme="majorHAnsi" w:hAnsiTheme="majorHAnsi" w:cstheme="majorHAnsi"/>
        </w:rPr>
        <w:t>, and interviewing</w:t>
      </w:r>
      <w:r>
        <w:rPr>
          <w:rFonts w:asciiTheme="majorHAnsi" w:hAnsiTheme="majorHAnsi" w:cstheme="majorHAnsi"/>
        </w:rPr>
        <w:t>, found and assessed several</w:t>
      </w:r>
      <w:r>
        <w:rPr>
          <w:rFonts w:asciiTheme="majorHAnsi" w:hAnsiTheme="majorHAnsi" w:cstheme="majorHAnsi"/>
          <w:shd w:val="clear" w:color="auto" w:fill="FFFFFF"/>
        </w:rPr>
        <w:t xml:space="preserve"> risk factors, outcomes, interventions, and government policies and programs that address youth homelessness within the US.  However, this research provided only an overview of YEH, thus continued research is encouraged to help </w:t>
      </w:r>
      <w:r>
        <w:rPr>
          <w:rFonts w:asciiTheme="majorHAnsi" w:hAnsiTheme="majorHAnsi" w:cstheme="majorHAnsi"/>
        </w:rPr>
        <w:t xml:space="preserve">increase knowledge, promote advocacy, and ultimately create change </w:t>
      </w:r>
      <w:r w:rsidR="007553B7">
        <w:rPr>
          <w:rFonts w:asciiTheme="majorHAnsi" w:hAnsiTheme="majorHAnsi" w:cstheme="majorHAnsi"/>
        </w:rPr>
        <w:t>to reduce the</w:t>
      </w:r>
      <w:r>
        <w:rPr>
          <w:rFonts w:asciiTheme="majorHAnsi" w:hAnsiTheme="majorHAnsi" w:cstheme="majorHAnsi"/>
        </w:rPr>
        <w:t xml:space="preserve"> prevalence of youth homelessness within the US</w:t>
      </w:r>
      <w:r w:rsidRPr="006B5A1B">
        <w:rPr>
          <w:rFonts w:asciiTheme="majorHAnsi" w:hAnsiTheme="majorHAnsi" w:cstheme="majorHAnsi"/>
        </w:rPr>
        <w:t>.</w:t>
      </w:r>
      <w:r>
        <w:rPr>
          <w:rFonts w:asciiTheme="majorHAnsi" w:hAnsiTheme="majorHAnsi" w:cstheme="majorHAnsi"/>
        </w:rPr>
        <w:t xml:space="preserve">  </w:t>
      </w:r>
    </w:p>
    <w:p w14:paraId="2874904D" w14:textId="77777777" w:rsidR="00707C0F" w:rsidRPr="006B5A1B" w:rsidRDefault="00707C0F" w:rsidP="00D4376E">
      <w:pPr>
        <w:spacing w:line="360" w:lineRule="auto"/>
        <w:rPr>
          <w:rFonts w:asciiTheme="majorHAnsi" w:hAnsiTheme="majorHAnsi" w:cstheme="majorHAnsi"/>
          <w:b/>
          <w:bCs/>
        </w:rPr>
      </w:pPr>
    </w:p>
    <w:p w14:paraId="1AD0AE6B" w14:textId="77777777" w:rsidR="00707C0F" w:rsidRPr="006B5A1B" w:rsidRDefault="00707C0F" w:rsidP="00707C0F">
      <w:pPr>
        <w:rPr>
          <w:rFonts w:asciiTheme="majorHAnsi" w:hAnsiTheme="majorHAnsi" w:cstheme="majorHAnsi"/>
          <w:b/>
          <w:bCs/>
        </w:rPr>
      </w:pPr>
      <w:r w:rsidRPr="006B5A1B">
        <w:rPr>
          <w:rFonts w:asciiTheme="majorHAnsi" w:hAnsiTheme="majorHAnsi" w:cstheme="majorHAnsi"/>
          <w:b/>
          <w:bCs/>
        </w:rPr>
        <w:br w:type="page"/>
      </w:r>
    </w:p>
    <w:p w14:paraId="11105878" w14:textId="77777777" w:rsidR="00500913" w:rsidRPr="00FE3642" w:rsidRDefault="00500913" w:rsidP="00FE3642">
      <w:pPr>
        <w:pStyle w:val="NoSpacing"/>
        <w:spacing w:line="360" w:lineRule="auto"/>
        <w:rPr>
          <w:rFonts w:ascii="Times New Roman" w:hAnsi="Times New Roman" w:cs="Times New Roman"/>
          <w:b/>
          <w:bCs/>
        </w:rPr>
      </w:pPr>
      <w:r w:rsidRPr="00FE3642">
        <w:rPr>
          <w:rFonts w:ascii="Times New Roman" w:hAnsi="Times New Roman" w:cs="Times New Roman"/>
          <w:b/>
          <w:bCs/>
        </w:rPr>
        <w:lastRenderedPageBreak/>
        <w:t>References</w:t>
      </w:r>
    </w:p>
    <w:p w14:paraId="0ABFBD94"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Data &amp; Trends.  United States Interagency Council on Homelessness.  n.d.  Accessed September 7, 2024.  https://www.usich.gov/guidance-reports-data/data-trends. </w:t>
      </w:r>
    </w:p>
    <w:p w14:paraId="78D8A031"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 xml:space="preserve">Institute of Medicine.  </w:t>
      </w:r>
      <w:r w:rsidRPr="00FE3642">
        <w:rPr>
          <w:rFonts w:ascii="Times New Roman" w:hAnsi="Times New Roman" w:cs="Times New Roman"/>
          <w:i/>
          <w:iCs/>
        </w:rPr>
        <w:t>Homelessness, Health, and Human Needs</w:t>
      </w:r>
      <w:r w:rsidRPr="00FE3642">
        <w:rPr>
          <w:rFonts w:ascii="Times New Roman" w:hAnsi="Times New Roman" w:cs="Times New Roman"/>
        </w:rPr>
        <w:t xml:space="preserve">.  National Academy </w:t>
      </w:r>
      <w:proofErr w:type="gramStart"/>
      <w:r w:rsidRPr="00FE3642">
        <w:rPr>
          <w:rFonts w:ascii="Times New Roman" w:hAnsi="Times New Roman" w:cs="Times New Roman"/>
        </w:rPr>
        <w:t>Press;1988:169</w:t>
      </w:r>
      <w:proofErr w:type="gramEnd"/>
      <w:r w:rsidRPr="00FE3642">
        <w:rPr>
          <w:rFonts w:ascii="Times New Roman" w:hAnsi="Times New Roman" w:cs="Times New Roman"/>
        </w:rPr>
        <w:t>-182.</w:t>
      </w:r>
    </w:p>
    <w:p w14:paraId="2986784E"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The McKinney-Vento Homeless Assistance Act.  National Center for Homeless Education.  n.d.  Accessed September 7, 2024.  https://nche.ed.gov/legislation/mckinney-vento/.</w:t>
      </w:r>
    </w:p>
    <w:p w14:paraId="26C20F98"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i/>
          <w:iCs/>
        </w:rPr>
        <w:t>Student Homelessness in America School Years 2019-20 to 2021-22</w:t>
      </w:r>
      <w:r w:rsidRPr="00FE3642">
        <w:rPr>
          <w:rFonts w:ascii="Times New Roman" w:hAnsi="Times New Roman" w:cs="Times New Roman"/>
        </w:rPr>
        <w:t>.  National Center for Homeless Education, The U.S. Department of Education.  December 2023.  Accessed September 4, 2024. https://nche.ed.gov/wp-content/uploads/2023/12/SY-21-22-EHCY-Data-Summary_FINAL.pdf</w:t>
      </w:r>
    </w:p>
    <w:p w14:paraId="7DDD0A17"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Data and Statistics on Homelessness.  National Center for Homeless Education. December 2023.  Accessed September 7, 2024.  https://nche.ed.gov/data-and-stats/.</w:t>
      </w:r>
    </w:p>
    <w:p w14:paraId="23D90653"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The McKinney–Vento Homeless Assistance Act, 42 USC §#11431 (2015). </w:t>
      </w:r>
    </w:p>
    <w:p w14:paraId="57D45C44"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 xml:space="preserve">Federal Definitions and Eligibility.  youth.gov.  n.d.  Accessed October 4, 2024.  https://youth.gov/youth-topics/homelessness-and-housing-instability/federal-definitions. </w:t>
      </w:r>
    </w:p>
    <w:p w14:paraId="08E48CCD"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Subject Definitions.  United States Census Bureau.  May 15, 2024.  Accessed October 4, 2024.  https://www.census.gov/programs-surveys/cps/technical-documentation/subject-definitions.html.</w:t>
      </w:r>
    </w:p>
    <w:p w14:paraId="42FA3DC2"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Systematic Reviews.  Centers for Disease Control and Infection.  May 24, 2024.  Accessed October 4,2024.  https://www.cdc.gov/library/researchguides/systematicreviews.html.</w:t>
      </w:r>
    </w:p>
    <w:p w14:paraId="1520188A"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Systematic Reviews.  National Institutes of Health.  n.d.  Accessed October 4, 2024.  https://www.nihlibrary.nih.gov/training-category/systematic-reviews-classes.</w:t>
      </w:r>
    </w:p>
    <w:p w14:paraId="0B5A308A"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shd w:val="clear" w:color="auto" w:fill="FFFFFF"/>
        </w:rPr>
        <w:t xml:space="preserve">Jacobson, KH.  </w:t>
      </w:r>
      <w:r w:rsidRPr="00FE3642">
        <w:rPr>
          <w:rFonts w:ascii="Times New Roman" w:hAnsi="Times New Roman" w:cs="Times New Roman"/>
          <w:i/>
          <w:iCs/>
          <w:shd w:val="clear" w:color="auto" w:fill="FFFFFF"/>
        </w:rPr>
        <w:t>Introduction to Health Research Methods</w:t>
      </w:r>
      <w:r w:rsidRPr="00FE3642">
        <w:rPr>
          <w:rFonts w:ascii="Times New Roman" w:hAnsi="Times New Roman" w:cs="Times New Roman"/>
          <w:shd w:val="clear" w:color="auto" w:fill="FFFFFF"/>
        </w:rPr>
        <w:t>.  Jones &amp; Bartlett Learning; 2021.</w:t>
      </w:r>
    </w:p>
    <w:p w14:paraId="1E04DFC6"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shd w:val="clear" w:color="auto" w:fill="FFFFFF"/>
        </w:rPr>
        <w:t xml:space="preserve">Lunny C, </w:t>
      </w:r>
      <w:proofErr w:type="spellStart"/>
      <w:r w:rsidRPr="00FE3642">
        <w:rPr>
          <w:rFonts w:ascii="Times New Roman" w:hAnsi="Times New Roman" w:cs="Times New Roman"/>
          <w:shd w:val="clear" w:color="auto" w:fill="FFFFFF"/>
        </w:rPr>
        <w:t>Ramasubbu</w:t>
      </w:r>
      <w:proofErr w:type="spellEnd"/>
      <w:r w:rsidRPr="00FE3642">
        <w:rPr>
          <w:rFonts w:ascii="Times New Roman" w:hAnsi="Times New Roman" w:cs="Times New Roman"/>
          <w:shd w:val="clear" w:color="auto" w:fill="FFFFFF"/>
        </w:rPr>
        <w:t xml:space="preserve"> C, </w:t>
      </w:r>
      <w:proofErr w:type="spellStart"/>
      <w:r w:rsidRPr="00FE3642">
        <w:rPr>
          <w:rFonts w:ascii="Times New Roman" w:hAnsi="Times New Roman" w:cs="Times New Roman"/>
          <w:shd w:val="clear" w:color="auto" w:fill="FFFFFF"/>
        </w:rPr>
        <w:t>Puil</w:t>
      </w:r>
      <w:proofErr w:type="spellEnd"/>
      <w:r w:rsidRPr="00FE3642">
        <w:rPr>
          <w:rFonts w:ascii="Times New Roman" w:hAnsi="Times New Roman" w:cs="Times New Roman"/>
          <w:shd w:val="clear" w:color="auto" w:fill="FFFFFF"/>
        </w:rPr>
        <w:t xml:space="preserve"> L, et al. Over half of clinical practice guidelines use non-systematic methods to inform recommendations: A methods study. </w:t>
      </w:r>
      <w:proofErr w:type="spellStart"/>
      <w:r w:rsidRPr="00FE3642">
        <w:rPr>
          <w:rFonts w:ascii="Times New Roman" w:hAnsi="Times New Roman" w:cs="Times New Roman"/>
          <w:i/>
          <w:iCs/>
          <w:shd w:val="clear" w:color="auto" w:fill="FFFFFF"/>
        </w:rPr>
        <w:t>PLoS</w:t>
      </w:r>
      <w:proofErr w:type="spellEnd"/>
      <w:r w:rsidRPr="00FE3642">
        <w:rPr>
          <w:rFonts w:ascii="Times New Roman" w:hAnsi="Times New Roman" w:cs="Times New Roman"/>
          <w:i/>
          <w:iCs/>
          <w:shd w:val="clear" w:color="auto" w:fill="FFFFFF"/>
        </w:rPr>
        <w:t xml:space="preserve"> One</w:t>
      </w:r>
      <w:r w:rsidRPr="00FE3642">
        <w:rPr>
          <w:rFonts w:ascii="Times New Roman" w:hAnsi="Times New Roman" w:cs="Times New Roman"/>
          <w:shd w:val="clear" w:color="auto" w:fill="FFFFFF"/>
        </w:rPr>
        <w:t>. 2021;16(4</w:t>
      </w:r>
      <w:proofErr w:type="gramStart"/>
      <w:r w:rsidRPr="00FE3642">
        <w:rPr>
          <w:rFonts w:ascii="Times New Roman" w:hAnsi="Times New Roman" w:cs="Times New Roman"/>
          <w:shd w:val="clear" w:color="auto" w:fill="FFFFFF"/>
        </w:rPr>
        <w:t>):e</w:t>
      </w:r>
      <w:proofErr w:type="gramEnd"/>
      <w:r w:rsidRPr="00FE3642">
        <w:rPr>
          <w:rFonts w:ascii="Times New Roman" w:hAnsi="Times New Roman" w:cs="Times New Roman"/>
          <w:shd w:val="clear" w:color="auto" w:fill="FFFFFF"/>
        </w:rPr>
        <w:t xml:space="preserve">0250356. Published 2021 Apr 22. </w:t>
      </w:r>
    </w:p>
    <w:p w14:paraId="3C0966E7"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shd w:val="clear" w:color="auto" w:fill="FFFFFF"/>
        </w:rPr>
        <w:t xml:space="preserve">Smela B, Toumi M, </w:t>
      </w:r>
      <w:proofErr w:type="spellStart"/>
      <w:r w:rsidRPr="00FE3642">
        <w:rPr>
          <w:rFonts w:ascii="Times New Roman" w:hAnsi="Times New Roman" w:cs="Times New Roman"/>
          <w:shd w:val="clear" w:color="auto" w:fill="FFFFFF"/>
        </w:rPr>
        <w:t>Świerk</w:t>
      </w:r>
      <w:proofErr w:type="spellEnd"/>
      <w:r w:rsidRPr="00FE3642">
        <w:rPr>
          <w:rFonts w:ascii="Times New Roman" w:hAnsi="Times New Roman" w:cs="Times New Roman"/>
          <w:shd w:val="clear" w:color="auto" w:fill="FFFFFF"/>
        </w:rPr>
        <w:t xml:space="preserve"> K, et al. Rapid literature review: definition and methodology.</w:t>
      </w:r>
      <w:r w:rsidRPr="00FE3642">
        <w:rPr>
          <w:rStyle w:val="apple-converted-space"/>
          <w:rFonts w:ascii="Times New Roman" w:hAnsi="Times New Roman" w:cs="Times New Roman"/>
          <w:shd w:val="clear" w:color="auto" w:fill="FFFFFF"/>
        </w:rPr>
        <w:t xml:space="preserve">  </w:t>
      </w:r>
      <w:r w:rsidRPr="00FE3642">
        <w:rPr>
          <w:rFonts w:ascii="Times New Roman" w:hAnsi="Times New Roman" w:cs="Times New Roman"/>
          <w:i/>
          <w:iCs/>
        </w:rPr>
        <w:t>Journal of Market Access and Health Policy</w:t>
      </w:r>
      <w:r w:rsidRPr="00FE3642">
        <w:rPr>
          <w:rFonts w:ascii="Times New Roman" w:hAnsi="Times New Roman" w:cs="Times New Roman"/>
          <w:shd w:val="clear" w:color="auto" w:fill="FFFFFF"/>
        </w:rPr>
        <w:t xml:space="preserve">. 2023;11(1):2241234. </w:t>
      </w:r>
    </w:p>
    <w:p w14:paraId="4FBD79B1"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About PubMed.  National Library of Medicine, National Institutes of Health.  Monday June 17, 2024.  Accessed October 4, 2024.  https://www.ncbi.nlm.nih.gov/pmc/about/intro/.</w:t>
      </w:r>
    </w:p>
    <w:p w14:paraId="32F269F9"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lastRenderedPageBreak/>
        <w:t xml:space="preserve">About </w:t>
      </w:r>
      <w:proofErr w:type="gramStart"/>
      <w:r w:rsidRPr="00FE3642">
        <w:rPr>
          <w:rFonts w:ascii="Times New Roman" w:hAnsi="Times New Roman" w:cs="Times New Roman"/>
        </w:rPr>
        <w:t>Us</w:t>
      </w:r>
      <w:proofErr w:type="gramEnd"/>
      <w:r w:rsidRPr="00FE3642">
        <w:rPr>
          <w:rFonts w:ascii="Times New Roman" w:hAnsi="Times New Roman" w:cs="Times New Roman"/>
        </w:rPr>
        <w:t xml:space="preserve">.  Youth.gov, </w:t>
      </w:r>
      <w:r w:rsidRPr="00FE3642">
        <w:rPr>
          <w:rFonts w:ascii="Times New Roman" w:hAnsi="Times New Roman" w:cs="Times New Roman"/>
          <w:shd w:val="clear" w:color="auto" w:fill="FFFFFF"/>
        </w:rPr>
        <w:t xml:space="preserve">Interagency Working Group on Youth Programs.  n.d.  Accessed October 4,2024.  </w:t>
      </w:r>
      <w:r w:rsidRPr="00FE3642">
        <w:rPr>
          <w:rFonts w:ascii="Times New Roman" w:hAnsi="Times New Roman" w:cs="Times New Roman"/>
        </w:rPr>
        <w:t>https://youth.gov/about-us</w:t>
      </w:r>
    </w:p>
    <w:p w14:paraId="18D833CD"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Study Quality Assessment Tools.  National Institutes of Health.  July 2021.  Accessed October 4, 2024.  https://www.nhlbi.nih.gov/health-topics/study-quality-assessment-tools</w:t>
      </w:r>
    </w:p>
    <w:p w14:paraId="3947F7BF"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 xml:space="preserve">Federal Programs.  Youth.gov, </w:t>
      </w:r>
      <w:r w:rsidRPr="00FE3642">
        <w:rPr>
          <w:rFonts w:ascii="Times New Roman" w:hAnsi="Times New Roman" w:cs="Times New Roman"/>
          <w:shd w:val="clear" w:color="auto" w:fill="FFFFFF"/>
        </w:rPr>
        <w:t xml:space="preserve">Interagency Working Group on Youth Programs.  n.d.  Accessed October 4,2024.  </w:t>
      </w:r>
      <w:r w:rsidRPr="00FE3642">
        <w:rPr>
          <w:rFonts w:ascii="Times New Roman" w:hAnsi="Times New Roman" w:cs="Times New Roman"/>
        </w:rPr>
        <w:t>https://youth.gov/youth-topics/homelessness-and-housing-instability/federal-programs</w:t>
      </w:r>
    </w:p>
    <w:p w14:paraId="18F81DAD" w14:textId="77777777" w:rsidR="00FE3642" w:rsidRPr="00FE3642" w:rsidRDefault="00FE3642" w:rsidP="00FE3642">
      <w:pPr>
        <w:pStyle w:val="ListParagraph"/>
        <w:numPr>
          <w:ilvl w:val="0"/>
          <w:numId w:val="4"/>
        </w:numPr>
        <w:spacing w:after="160" w:line="360" w:lineRule="auto"/>
        <w:ind w:left="360"/>
      </w:pPr>
      <w:r w:rsidRPr="00FE3642">
        <w:t xml:space="preserve">Boudreaux M, Fenelon A, </w:t>
      </w:r>
      <w:proofErr w:type="spellStart"/>
      <w:r w:rsidRPr="00FE3642">
        <w:t>Slopen</w:t>
      </w:r>
      <w:proofErr w:type="spellEnd"/>
      <w:r w:rsidRPr="00FE3642">
        <w:t xml:space="preserve"> N, Newman SJ. Association of Childhood Asthma </w:t>
      </w:r>
      <w:proofErr w:type="gramStart"/>
      <w:r w:rsidRPr="00FE3642">
        <w:t>With</w:t>
      </w:r>
      <w:proofErr w:type="gramEnd"/>
      <w:r w:rsidRPr="00FE3642">
        <w:t xml:space="preserve"> Federal Rental Assistance. </w:t>
      </w:r>
      <w:r w:rsidRPr="00FE3642">
        <w:rPr>
          <w:i/>
          <w:iCs/>
        </w:rPr>
        <w:t>JAMA Pediatrics</w:t>
      </w:r>
      <w:r w:rsidRPr="00FE3642">
        <w:t xml:space="preserve">. </w:t>
      </w:r>
      <w:proofErr w:type="gramStart"/>
      <w:r w:rsidRPr="00FE3642">
        <w:t>2020;174:592</w:t>
      </w:r>
      <w:proofErr w:type="gramEnd"/>
      <w:r w:rsidRPr="00FE3642">
        <w:t>-598.</w:t>
      </w:r>
    </w:p>
    <w:p w14:paraId="01972DAC" w14:textId="77777777" w:rsidR="00FE3642" w:rsidRPr="00FE3642" w:rsidRDefault="00FE3642" w:rsidP="00FE3642">
      <w:pPr>
        <w:pStyle w:val="ListParagraph"/>
        <w:numPr>
          <w:ilvl w:val="0"/>
          <w:numId w:val="4"/>
        </w:numPr>
        <w:spacing w:after="160" w:line="360" w:lineRule="auto"/>
        <w:ind w:left="360"/>
      </w:pPr>
      <w:r w:rsidRPr="00FE3642">
        <w:t>Damian AJ, Ponce D, Ortiz-</w:t>
      </w:r>
      <w:proofErr w:type="spellStart"/>
      <w:r w:rsidRPr="00FE3642">
        <w:t>Siberon</w:t>
      </w:r>
      <w:proofErr w:type="spellEnd"/>
      <w:r w:rsidRPr="00FE3642">
        <w:t xml:space="preserve"> A, et al. Understanding the Health and Health-Related Social Needs of Youth Experiencing Homelessness: A Photovoice Study. </w:t>
      </w:r>
      <w:r w:rsidRPr="00FE3642">
        <w:rPr>
          <w:i/>
          <w:iCs/>
        </w:rPr>
        <w:t>International Journal Environmental Research and Public Health</w:t>
      </w:r>
      <w:r w:rsidRPr="00FE3642">
        <w:t>. 2022;19(16):9799.</w:t>
      </w:r>
    </w:p>
    <w:p w14:paraId="1FBFDF53" w14:textId="77777777" w:rsidR="00FE3642" w:rsidRPr="00FE3642" w:rsidRDefault="00FE3642" w:rsidP="00FE3642">
      <w:pPr>
        <w:pStyle w:val="ListParagraph"/>
        <w:numPr>
          <w:ilvl w:val="0"/>
          <w:numId w:val="4"/>
        </w:numPr>
        <w:spacing w:after="160" w:line="360" w:lineRule="auto"/>
        <w:ind w:left="360"/>
      </w:pPr>
      <w:r w:rsidRPr="00FE3642">
        <w:t>Glover AC, Schueller SM, Winiarski DA, Smith DL, Karnik NS, Zalta AK. Automated Mobile Phone-Based Mental Health Resource for Homeless Youth: Pilot Study Assessing Feasibility and Acceptability. JMIR Mental Health. 2019;</w:t>
      </w:r>
      <w:proofErr w:type="gramStart"/>
      <w:r w:rsidRPr="00FE3642">
        <w:t>6:e</w:t>
      </w:r>
      <w:proofErr w:type="gramEnd"/>
      <w:r w:rsidRPr="00FE3642">
        <w:t>15144-e15144.</w:t>
      </w:r>
    </w:p>
    <w:p w14:paraId="1EE743B4" w14:textId="77777777" w:rsidR="00FE3642" w:rsidRPr="00FE3642" w:rsidRDefault="00FE3642" w:rsidP="00FE3642">
      <w:pPr>
        <w:pStyle w:val="ListParagraph"/>
        <w:numPr>
          <w:ilvl w:val="0"/>
          <w:numId w:val="4"/>
        </w:numPr>
        <w:spacing w:after="160" w:line="360" w:lineRule="auto"/>
        <w:ind w:left="360"/>
      </w:pPr>
      <w:r w:rsidRPr="00FE3642">
        <w:t>Hatem C, Lee CY, Zhao X, Reesor-Oyer L, Lopez T, Hernandez DC. Food insecurity and housing instability during early childhood as predictors of adolescent mental health. </w:t>
      </w:r>
      <w:r w:rsidRPr="00FE3642">
        <w:rPr>
          <w:i/>
          <w:iCs/>
        </w:rPr>
        <w:t>Journal Family Psychology</w:t>
      </w:r>
      <w:r w:rsidRPr="00FE3642">
        <w:t>. 2020;34(6):721-730.</w:t>
      </w:r>
    </w:p>
    <w:p w14:paraId="291D197C" w14:textId="77777777" w:rsidR="00FE3642" w:rsidRPr="00FE3642" w:rsidRDefault="00FE3642" w:rsidP="00FE3642">
      <w:pPr>
        <w:pStyle w:val="ListParagraph"/>
        <w:numPr>
          <w:ilvl w:val="0"/>
          <w:numId w:val="4"/>
        </w:numPr>
        <w:spacing w:after="160" w:line="360" w:lineRule="auto"/>
        <w:ind w:left="360"/>
      </w:pPr>
      <w:r w:rsidRPr="00FE3642">
        <w:t xml:space="preserve">Henriques E, Schmidt C, Pascoe R, Liss K, Begun S. Counter-Narratives of Structural Oppressions, Stigma and Resistance, and Reproductive and Sexual Health Among Youth Experiencing Homelessness. </w:t>
      </w:r>
      <w:r w:rsidRPr="00FE3642">
        <w:rPr>
          <w:i/>
          <w:iCs/>
        </w:rPr>
        <w:t>Qualitative Health Research</w:t>
      </w:r>
      <w:r w:rsidRPr="00FE3642">
        <w:t>. 2022;32(10):1447-1463.</w:t>
      </w:r>
    </w:p>
    <w:p w14:paraId="5C677802" w14:textId="77777777" w:rsidR="00FE3642" w:rsidRPr="00FE3642" w:rsidRDefault="00FE3642" w:rsidP="00FE3642">
      <w:pPr>
        <w:pStyle w:val="ListParagraph"/>
        <w:numPr>
          <w:ilvl w:val="0"/>
          <w:numId w:val="4"/>
        </w:numPr>
        <w:spacing w:after="160" w:line="360" w:lineRule="auto"/>
        <w:ind w:left="360"/>
      </w:pPr>
      <w:r w:rsidRPr="00FE3642">
        <w:t xml:space="preserve">Iwundu CN, Chen TA, </w:t>
      </w:r>
      <w:proofErr w:type="spellStart"/>
      <w:r w:rsidRPr="00FE3642">
        <w:t>Edereka</w:t>
      </w:r>
      <w:proofErr w:type="spellEnd"/>
      <w:r w:rsidRPr="00FE3642">
        <w:t xml:space="preserve">-Great K, Businelle MS, </w:t>
      </w:r>
      <w:proofErr w:type="spellStart"/>
      <w:r w:rsidRPr="00FE3642">
        <w:t>Kendzor</w:t>
      </w:r>
      <w:proofErr w:type="spellEnd"/>
      <w:r w:rsidRPr="00FE3642">
        <w:t xml:space="preserve"> DE, Reitzel LR. Mental Illness and Youth-Onset Homelessness: A Retrospective Study among Adults Experiencing Homelessness. </w:t>
      </w:r>
      <w:r w:rsidRPr="00FE3642">
        <w:rPr>
          <w:i/>
          <w:iCs/>
        </w:rPr>
        <w:t>International Journal Environmental Research and Public Health</w:t>
      </w:r>
      <w:r w:rsidRPr="00FE3642">
        <w:t>. 2020;17(22):8295.</w:t>
      </w:r>
    </w:p>
    <w:p w14:paraId="0873D1A3" w14:textId="77777777" w:rsidR="00FE3642" w:rsidRPr="00FE3642" w:rsidRDefault="00FE3642" w:rsidP="00FE3642">
      <w:pPr>
        <w:pStyle w:val="ListParagraph"/>
        <w:numPr>
          <w:ilvl w:val="0"/>
          <w:numId w:val="4"/>
        </w:numPr>
        <w:spacing w:after="160" w:line="360" w:lineRule="auto"/>
        <w:ind w:left="360"/>
      </w:pPr>
      <w:r w:rsidRPr="00FE3642">
        <w:t>Jose R, D'Amico EJ, Klein DJ, Rodriguez A, Pedersen ER, Tucker JS. In flux: Associations of substance use with instability in housing, employment, and income among young adults experiencing homelessness. </w:t>
      </w:r>
      <w:proofErr w:type="spellStart"/>
      <w:r w:rsidRPr="00FE3642">
        <w:rPr>
          <w:i/>
          <w:iCs/>
        </w:rPr>
        <w:t>PLoS</w:t>
      </w:r>
      <w:proofErr w:type="spellEnd"/>
      <w:r w:rsidRPr="00FE3642">
        <w:rPr>
          <w:i/>
          <w:iCs/>
        </w:rPr>
        <w:t xml:space="preserve"> One</w:t>
      </w:r>
      <w:r w:rsidRPr="00FE3642">
        <w:t>. 2024;19(5</w:t>
      </w:r>
      <w:proofErr w:type="gramStart"/>
      <w:r w:rsidRPr="00FE3642">
        <w:t>):e</w:t>
      </w:r>
      <w:proofErr w:type="gramEnd"/>
      <w:r w:rsidRPr="00FE3642">
        <w:t>0303439</w:t>
      </w:r>
    </w:p>
    <w:p w14:paraId="5E3E2165" w14:textId="77777777" w:rsidR="00FE3642" w:rsidRPr="00FE3642" w:rsidRDefault="00FE3642" w:rsidP="00FE3642">
      <w:pPr>
        <w:pStyle w:val="ListParagraph"/>
        <w:numPr>
          <w:ilvl w:val="0"/>
          <w:numId w:val="4"/>
        </w:numPr>
        <w:spacing w:after="160" w:line="360" w:lineRule="auto"/>
        <w:ind w:left="360"/>
      </w:pPr>
      <w:r w:rsidRPr="00FE3642">
        <w:t xml:space="preserve">Keen R, Chen JT, </w:t>
      </w:r>
      <w:proofErr w:type="spellStart"/>
      <w:r w:rsidRPr="00FE3642">
        <w:t>Slopen</w:t>
      </w:r>
      <w:proofErr w:type="spellEnd"/>
      <w:r w:rsidRPr="00FE3642">
        <w:t xml:space="preserve"> N, Sandel M, Copeland WE, Tiemeier H. Prospective Associations of Childhood Housing Insecurity </w:t>
      </w:r>
      <w:proofErr w:type="gramStart"/>
      <w:r w:rsidRPr="00FE3642">
        <w:t>With</w:t>
      </w:r>
      <w:proofErr w:type="gramEnd"/>
      <w:r w:rsidRPr="00FE3642">
        <w:t xml:space="preserve"> Anxiety and Depression Symptoms During Childhood and Adulthood. </w:t>
      </w:r>
      <w:r w:rsidRPr="00FE3642">
        <w:rPr>
          <w:i/>
          <w:iCs/>
        </w:rPr>
        <w:t>JAMA Pediatrics</w:t>
      </w:r>
      <w:r w:rsidRPr="00FE3642">
        <w:t>. 2023;177(8):818-826.</w:t>
      </w:r>
    </w:p>
    <w:p w14:paraId="10940EF7" w14:textId="77777777" w:rsidR="00FE3642" w:rsidRPr="00FE3642" w:rsidRDefault="00FE3642" w:rsidP="00FE3642">
      <w:pPr>
        <w:pStyle w:val="ListParagraph"/>
        <w:numPr>
          <w:ilvl w:val="0"/>
          <w:numId w:val="4"/>
        </w:numPr>
        <w:spacing w:after="160" w:line="360" w:lineRule="auto"/>
        <w:ind w:left="360"/>
      </w:pPr>
      <w:r w:rsidRPr="00FE3642">
        <w:lastRenderedPageBreak/>
        <w:t xml:space="preserve">Leonard A, Broussard J, Jain J, Kumar S, Santos G, Dawson‐Rose C. Prevalence and correlates of methamphetamine use in transitional age youth experiencing homelessness or housing instability in San Francisco, CA. Journal of nursing scholarship. </w:t>
      </w:r>
      <w:proofErr w:type="gramStart"/>
      <w:r w:rsidRPr="00FE3642">
        <w:t>2023;55:711</w:t>
      </w:r>
      <w:proofErr w:type="gramEnd"/>
      <w:r w:rsidRPr="00FE3642">
        <w:t>-720.</w:t>
      </w:r>
    </w:p>
    <w:p w14:paraId="1B0EC318" w14:textId="77777777" w:rsidR="00FE3642" w:rsidRPr="00FE3642" w:rsidRDefault="00FE3642" w:rsidP="00FE3642">
      <w:pPr>
        <w:pStyle w:val="ListParagraph"/>
        <w:numPr>
          <w:ilvl w:val="0"/>
          <w:numId w:val="4"/>
        </w:numPr>
        <w:spacing w:after="160" w:line="360" w:lineRule="auto"/>
        <w:ind w:left="360"/>
      </w:pPr>
      <w:r w:rsidRPr="00FE3642">
        <w:t xml:space="preserve">Lewis QJ, Smith BD, Offiong A, Prioleau M, Powell TW. When a house is never a home: Housing instability among youth affected by parental drug abuse. </w:t>
      </w:r>
      <w:r w:rsidRPr="00FE3642">
        <w:rPr>
          <w:i/>
          <w:iCs/>
        </w:rPr>
        <w:t>Child abuse &amp; neglect</w:t>
      </w:r>
      <w:r w:rsidRPr="00FE3642">
        <w:t xml:space="preserve">. </w:t>
      </w:r>
      <w:proofErr w:type="gramStart"/>
      <w:r w:rsidRPr="00FE3642">
        <w:t>2021;118:105131</w:t>
      </w:r>
      <w:proofErr w:type="gramEnd"/>
      <w:r w:rsidRPr="00FE3642">
        <w:t>-105131.</w:t>
      </w:r>
    </w:p>
    <w:p w14:paraId="205F2D63" w14:textId="77777777" w:rsidR="00FE3642" w:rsidRPr="00FE3642" w:rsidRDefault="00FE3642" w:rsidP="00FE3642">
      <w:pPr>
        <w:pStyle w:val="ListParagraph"/>
        <w:numPr>
          <w:ilvl w:val="0"/>
          <w:numId w:val="4"/>
        </w:numPr>
        <w:spacing w:after="160" w:line="360" w:lineRule="auto"/>
        <w:ind w:left="360"/>
      </w:pPr>
      <w:r w:rsidRPr="00FE3642">
        <w:t xml:space="preserve">Liu M, Koh KA, Hwang SW, </w:t>
      </w:r>
      <w:proofErr w:type="spellStart"/>
      <w:r w:rsidRPr="00FE3642">
        <w:t>Wadhera</w:t>
      </w:r>
      <w:proofErr w:type="spellEnd"/>
      <w:r w:rsidRPr="00FE3642">
        <w:t xml:space="preserve"> RK. Mental Health and Substance Use Among Homeless Adolescents in the US. </w:t>
      </w:r>
      <w:r w:rsidRPr="00FE3642">
        <w:rPr>
          <w:i/>
          <w:iCs/>
        </w:rPr>
        <w:t>JAMA</w:t>
      </w:r>
      <w:r w:rsidRPr="00FE3642">
        <w:t>. 2022;327(18):1820-1822.</w:t>
      </w:r>
    </w:p>
    <w:p w14:paraId="7E5CF53E" w14:textId="77777777" w:rsidR="00FE3642" w:rsidRPr="00FE3642" w:rsidRDefault="00FE3642" w:rsidP="00FE3642">
      <w:pPr>
        <w:pStyle w:val="ListParagraph"/>
        <w:numPr>
          <w:ilvl w:val="0"/>
          <w:numId w:val="4"/>
        </w:numPr>
        <w:spacing w:after="160" w:line="360" w:lineRule="auto"/>
        <w:ind w:left="360"/>
      </w:pPr>
      <w:r w:rsidRPr="00FE3642">
        <w:t>LoSchiavo C, Krause KD, Singer SN, Halkitis PN. The Confluence of Housing Instability and Psychosocial, Mental, and Physical Health in Sexual Minority Young Adults: The P18 Cohort Study. </w:t>
      </w:r>
      <w:proofErr w:type="gramStart"/>
      <w:r w:rsidRPr="00FE3642">
        <w:rPr>
          <w:i/>
          <w:iCs/>
        </w:rPr>
        <w:t>J Health</w:t>
      </w:r>
      <w:proofErr w:type="gramEnd"/>
      <w:r w:rsidRPr="00FE3642">
        <w:rPr>
          <w:i/>
          <w:iCs/>
        </w:rPr>
        <w:t xml:space="preserve"> Care Poor Underserved</w:t>
      </w:r>
      <w:r w:rsidRPr="00FE3642">
        <w:t>. 2020;31(4):1693-1711.</w:t>
      </w:r>
    </w:p>
    <w:p w14:paraId="4F395A43" w14:textId="77777777" w:rsidR="00FE3642" w:rsidRPr="00FE3642" w:rsidRDefault="00FE3642" w:rsidP="00FE3642">
      <w:pPr>
        <w:pStyle w:val="ListParagraph"/>
        <w:numPr>
          <w:ilvl w:val="0"/>
          <w:numId w:val="4"/>
        </w:numPr>
        <w:spacing w:after="160" w:line="360" w:lineRule="auto"/>
        <w:ind w:left="360"/>
      </w:pPr>
      <w:r w:rsidRPr="00FE3642">
        <w:t>McKinnon II, Krause KH, Robin L, et al. Experiences of Unstable Housing Among High School Students - Youth Risk Behavior Survey, United States, 2021. </w:t>
      </w:r>
      <w:r w:rsidRPr="00FE3642">
        <w:rPr>
          <w:i/>
          <w:iCs/>
        </w:rPr>
        <w:t>MMWR Supplement</w:t>
      </w:r>
      <w:r w:rsidRPr="00FE3642">
        <w:t>. 2023;72(1):29-36.</w:t>
      </w:r>
    </w:p>
    <w:p w14:paraId="6648973A" w14:textId="77777777" w:rsidR="00FE3642" w:rsidRPr="00FE3642" w:rsidRDefault="00FE3642" w:rsidP="00FE3642">
      <w:pPr>
        <w:pStyle w:val="ListParagraph"/>
        <w:numPr>
          <w:ilvl w:val="0"/>
          <w:numId w:val="4"/>
        </w:numPr>
        <w:spacing w:after="160" w:line="360" w:lineRule="auto"/>
        <w:ind w:left="360"/>
      </w:pPr>
      <w:r w:rsidRPr="00FE3642">
        <w:t>Moss HB, Ge S, Trager E, et al. Risk for Substance Use Disorders in young adulthood: Associations with developmental experiences of homelessness, foster care, and adverse childhood experiences. </w:t>
      </w:r>
      <w:r w:rsidRPr="00FE3642">
        <w:rPr>
          <w:i/>
          <w:iCs/>
        </w:rPr>
        <w:t>Comprehensive Psychiatry</w:t>
      </w:r>
      <w:r w:rsidRPr="00FE3642">
        <w:t xml:space="preserve">. </w:t>
      </w:r>
      <w:proofErr w:type="gramStart"/>
      <w:r w:rsidRPr="00FE3642">
        <w:t>2020;100:152175</w:t>
      </w:r>
      <w:proofErr w:type="gramEnd"/>
      <w:r w:rsidRPr="00FE3642">
        <w:t>.</w:t>
      </w:r>
    </w:p>
    <w:p w14:paraId="09DE7293" w14:textId="77777777" w:rsidR="00FE3642" w:rsidRPr="00FE3642" w:rsidRDefault="00FE3642" w:rsidP="00FE3642">
      <w:pPr>
        <w:pStyle w:val="ListParagraph"/>
        <w:numPr>
          <w:ilvl w:val="0"/>
          <w:numId w:val="4"/>
        </w:numPr>
        <w:spacing w:after="160" w:line="360" w:lineRule="auto"/>
        <w:ind w:left="360"/>
      </w:pPr>
      <w:proofErr w:type="spellStart"/>
      <w:r w:rsidRPr="00FE3642">
        <w:t>Nakphong</w:t>
      </w:r>
      <w:proofErr w:type="spellEnd"/>
      <w:r w:rsidRPr="00FE3642">
        <w:t xml:space="preserve"> MK, Bright DJ, </w:t>
      </w:r>
      <w:proofErr w:type="spellStart"/>
      <w:r w:rsidRPr="00FE3642">
        <w:t>Koreitem</w:t>
      </w:r>
      <w:proofErr w:type="spellEnd"/>
      <w:r w:rsidRPr="00FE3642">
        <w:t xml:space="preserve"> A, et al. Housing instability patterns among low-income, urban Black young adults in California and associations with mental health outcomes: baseline data from a randomized waitlist-controlled trial. </w:t>
      </w:r>
      <w:r w:rsidRPr="00FE3642">
        <w:rPr>
          <w:i/>
          <w:iCs/>
        </w:rPr>
        <w:t>BMC Public Health</w:t>
      </w:r>
      <w:r w:rsidRPr="00FE3642">
        <w:t xml:space="preserve">. 2024;24(1):2492. </w:t>
      </w:r>
    </w:p>
    <w:p w14:paraId="35DE3776" w14:textId="77777777" w:rsidR="00FE3642" w:rsidRPr="00FE3642" w:rsidRDefault="00FE3642" w:rsidP="00FE3642">
      <w:pPr>
        <w:pStyle w:val="ListParagraph"/>
        <w:numPr>
          <w:ilvl w:val="0"/>
          <w:numId w:val="4"/>
        </w:numPr>
        <w:spacing w:after="160" w:line="360" w:lineRule="auto"/>
        <w:ind w:left="360"/>
      </w:pPr>
      <w:r w:rsidRPr="00FE3642">
        <w:t>Nemeth JM, Glasser AM, Hinton A, et al. Brain Injury Is Prevalent and Precedes Tobacco Use among Youth and Young Adults Experiencing Homelessness. </w:t>
      </w:r>
      <w:r w:rsidRPr="00FE3642">
        <w:rPr>
          <w:i/>
          <w:iCs/>
        </w:rPr>
        <w:t>International Journal Environmental Research Public Health</w:t>
      </w:r>
      <w:r w:rsidRPr="00FE3642">
        <w:t>. 2023;20(6):5169.</w:t>
      </w:r>
    </w:p>
    <w:p w14:paraId="29027D57" w14:textId="77777777" w:rsidR="00FE3642" w:rsidRPr="00FE3642" w:rsidRDefault="00FE3642" w:rsidP="00FE3642">
      <w:pPr>
        <w:pStyle w:val="ListParagraph"/>
        <w:numPr>
          <w:ilvl w:val="0"/>
          <w:numId w:val="4"/>
        </w:numPr>
        <w:spacing w:after="160" w:line="360" w:lineRule="auto"/>
        <w:ind w:left="360"/>
      </w:pPr>
      <w:r w:rsidRPr="00FE3642">
        <w:t>Patel CG, Williams SP, Tao G. Access to Healthcare and the Utilization of Sexually Transmitted Infections Among Homeless Medicaid Patients 15 to 44 Years of Age. </w:t>
      </w:r>
      <w:r w:rsidRPr="00FE3642">
        <w:rPr>
          <w:i/>
          <w:iCs/>
        </w:rPr>
        <w:t>Journal Community Health</w:t>
      </w:r>
      <w:r w:rsidRPr="00FE3642">
        <w:t>. 2022;47(5):853-861.</w:t>
      </w:r>
    </w:p>
    <w:p w14:paraId="5F8F336B" w14:textId="77777777" w:rsidR="00FE3642" w:rsidRPr="00FE3642" w:rsidRDefault="00FE3642" w:rsidP="00FE3642">
      <w:pPr>
        <w:pStyle w:val="ListParagraph"/>
        <w:numPr>
          <w:ilvl w:val="0"/>
          <w:numId w:val="4"/>
        </w:numPr>
        <w:spacing w:after="160" w:line="360" w:lineRule="auto"/>
        <w:ind w:left="360"/>
      </w:pPr>
      <w:r w:rsidRPr="00FE3642">
        <w:t xml:space="preserve">Patterson JG, Glasser AM, </w:t>
      </w:r>
      <w:proofErr w:type="spellStart"/>
      <w:r w:rsidRPr="00FE3642">
        <w:t>Macisco</w:t>
      </w:r>
      <w:proofErr w:type="spellEnd"/>
      <w:r w:rsidRPr="00FE3642">
        <w:t xml:space="preserve"> JM, Hinton A, </w:t>
      </w:r>
      <w:proofErr w:type="spellStart"/>
      <w:r w:rsidRPr="00FE3642">
        <w:t>Wermert</w:t>
      </w:r>
      <w:proofErr w:type="spellEnd"/>
      <w:r w:rsidRPr="00FE3642">
        <w:t xml:space="preserve"> A, Nemeth JM. "I Smoked That Cigarette, and It Calmed Me Down": A Qualitative Analysis of Intrapersonal, Social, and Environmental Factors Influencing Decisions to Smoke Among Youth Experiencing Homelessness. </w:t>
      </w:r>
      <w:r w:rsidRPr="00FE3642">
        <w:rPr>
          <w:i/>
          <w:iCs/>
        </w:rPr>
        <w:t>Nicotine Tobacco Research</w:t>
      </w:r>
      <w:r w:rsidRPr="00FE3642">
        <w:t>. 2022;24(2):250-256.</w:t>
      </w:r>
    </w:p>
    <w:p w14:paraId="13B46E49" w14:textId="77777777" w:rsidR="00FE3642" w:rsidRPr="00FE3642" w:rsidRDefault="00FE3642" w:rsidP="00FE3642">
      <w:pPr>
        <w:pStyle w:val="ListParagraph"/>
        <w:numPr>
          <w:ilvl w:val="0"/>
          <w:numId w:val="4"/>
        </w:numPr>
        <w:spacing w:after="160" w:line="360" w:lineRule="auto"/>
        <w:ind w:left="360"/>
      </w:pPr>
      <w:r w:rsidRPr="00FE3642">
        <w:lastRenderedPageBreak/>
        <w:t xml:space="preserve">Sakai-Bizmark R, </w:t>
      </w:r>
      <w:proofErr w:type="spellStart"/>
      <w:r w:rsidRPr="00FE3642">
        <w:t>Kumamaru</w:t>
      </w:r>
      <w:proofErr w:type="spellEnd"/>
      <w:r w:rsidRPr="00FE3642">
        <w:t xml:space="preserve"> H, Estevez D, et al. Health-Care Utilization Due to Suicide Attempts Among Homeless Youth in New York State. </w:t>
      </w:r>
      <w:r w:rsidRPr="00FE3642">
        <w:rPr>
          <w:i/>
          <w:iCs/>
        </w:rPr>
        <w:t>American Journal of Epidemiology</w:t>
      </w:r>
      <w:r w:rsidRPr="00FE3642">
        <w:t>. 2021;190(8):1582-1591.</w:t>
      </w:r>
    </w:p>
    <w:p w14:paraId="0BF794E7" w14:textId="77777777" w:rsidR="00FE3642" w:rsidRPr="00FE3642" w:rsidRDefault="00FE3642" w:rsidP="00FE3642">
      <w:pPr>
        <w:pStyle w:val="ListParagraph"/>
        <w:numPr>
          <w:ilvl w:val="0"/>
          <w:numId w:val="4"/>
        </w:numPr>
        <w:spacing w:after="160" w:line="360" w:lineRule="auto"/>
        <w:ind w:left="360"/>
      </w:pPr>
      <w:r w:rsidRPr="00FE3642">
        <w:t xml:space="preserve">Santa Maria D, </w:t>
      </w:r>
      <w:proofErr w:type="spellStart"/>
      <w:r w:rsidRPr="00FE3642">
        <w:t>Daundasekara</w:t>
      </w:r>
      <w:proofErr w:type="spellEnd"/>
      <w:r w:rsidRPr="00FE3642">
        <w:t xml:space="preserve"> SS, Hernandez DC, Zhang W, </w:t>
      </w:r>
      <w:proofErr w:type="spellStart"/>
      <w:r w:rsidRPr="00FE3642">
        <w:t>Narendorf</w:t>
      </w:r>
      <w:proofErr w:type="spellEnd"/>
      <w:r w:rsidRPr="00FE3642">
        <w:t xml:space="preserve"> SC. Sexual risk classes among youth experiencing homelessness: Relation to childhood adversities, current mental symptoms, substance use, and HIV testing. </w:t>
      </w:r>
      <w:proofErr w:type="spellStart"/>
      <w:r w:rsidRPr="00FE3642">
        <w:rPr>
          <w:i/>
          <w:iCs/>
        </w:rPr>
        <w:t>PLoS</w:t>
      </w:r>
      <w:proofErr w:type="spellEnd"/>
      <w:r w:rsidRPr="00FE3642">
        <w:rPr>
          <w:i/>
          <w:iCs/>
        </w:rPr>
        <w:t xml:space="preserve"> One</w:t>
      </w:r>
      <w:r w:rsidRPr="00FE3642">
        <w:t>. 2020;15(1</w:t>
      </w:r>
      <w:proofErr w:type="gramStart"/>
      <w:r w:rsidRPr="00FE3642">
        <w:t>):e</w:t>
      </w:r>
      <w:proofErr w:type="gramEnd"/>
      <w:r w:rsidRPr="00FE3642">
        <w:t>0227331</w:t>
      </w:r>
    </w:p>
    <w:p w14:paraId="3418261B" w14:textId="77777777" w:rsidR="00FE3642" w:rsidRPr="00FE3642" w:rsidRDefault="00FE3642" w:rsidP="00FE3642">
      <w:pPr>
        <w:pStyle w:val="ListParagraph"/>
        <w:numPr>
          <w:ilvl w:val="0"/>
          <w:numId w:val="4"/>
        </w:numPr>
        <w:spacing w:after="160" w:line="360" w:lineRule="auto"/>
        <w:ind w:left="360"/>
      </w:pPr>
      <w:proofErr w:type="spellStart"/>
      <w:r w:rsidRPr="00FE3642">
        <w:t>Slesnick</w:t>
      </w:r>
      <w:proofErr w:type="spellEnd"/>
      <w:r w:rsidRPr="00FE3642">
        <w:t xml:space="preserve"> N, Zhang J, Walsh L. Youth Experiencing Homelessness with Suicidal Ideation: Understanding Risk Associated with Peer and Family Social Networks. </w:t>
      </w:r>
      <w:r w:rsidRPr="00FE3642">
        <w:rPr>
          <w:i/>
          <w:iCs/>
        </w:rPr>
        <w:t>Community Mental Health Journal</w:t>
      </w:r>
      <w:r w:rsidRPr="00FE3642">
        <w:t>. 2021;57(1):128-135.</w:t>
      </w:r>
    </w:p>
    <w:p w14:paraId="1D7A9887" w14:textId="77777777" w:rsidR="00FE3642" w:rsidRPr="00FE3642" w:rsidRDefault="00FE3642" w:rsidP="00FE3642">
      <w:pPr>
        <w:pStyle w:val="ListParagraph"/>
        <w:numPr>
          <w:ilvl w:val="0"/>
          <w:numId w:val="4"/>
        </w:numPr>
        <w:spacing w:after="160" w:line="360" w:lineRule="auto"/>
        <w:ind w:left="360"/>
      </w:pPr>
      <w:r w:rsidRPr="00FE3642">
        <w:t>Smith-Grant J, Kilmer G, Brener N, Robin L, Underwood JM. Risk Behaviors and Experiences Among Youth Experiencing Homelessness-Youth Risk Behavior Survey, 23 U.S. States and 11 Local School Districts, 2019. </w:t>
      </w:r>
      <w:r w:rsidRPr="00FE3642">
        <w:rPr>
          <w:i/>
          <w:iCs/>
        </w:rPr>
        <w:t>Journal Community Health</w:t>
      </w:r>
      <w:r w:rsidRPr="00FE3642">
        <w:t>. 2022;47(2):324-333.</w:t>
      </w:r>
    </w:p>
    <w:p w14:paraId="033A27CC" w14:textId="77777777" w:rsidR="00FE3642" w:rsidRPr="00FE3642" w:rsidRDefault="00FE3642" w:rsidP="00FE3642">
      <w:pPr>
        <w:pStyle w:val="ListParagraph"/>
        <w:numPr>
          <w:ilvl w:val="0"/>
          <w:numId w:val="4"/>
        </w:numPr>
        <w:spacing w:after="160" w:line="360" w:lineRule="auto"/>
        <w:ind w:left="360"/>
      </w:pPr>
      <w:r w:rsidRPr="00FE3642">
        <w:t>Tucker JS, Davis JP, Perez LG, Klein DJ, D'Amico EJ. Late Adolescent Predictors of Homelessness and Food Insecurity During Emerging Adulthood. </w:t>
      </w:r>
      <w:r w:rsidRPr="00FE3642">
        <w:rPr>
          <w:i/>
          <w:iCs/>
        </w:rPr>
        <w:t xml:space="preserve">J </w:t>
      </w:r>
      <w:proofErr w:type="spellStart"/>
      <w:r w:rsidRPr="00FE3642">
        <w:rPr>
          <w:i/>
          <w:iCs/>
        </w:rPr>
        <w:t>Adolesc</w:t>
      </w:r>
      <w:proofErr w:type="spellEnd"/>
      <w:r w:rsidRPr="00FE3642">
        <w:rPr>
          <w:i/>
          <w:iCs/>
        </w:rPr>
        <w:t xml:space="preserve"> Health</w:t>
      </w:r>
      <w:r w:rsidRPr="00FE3642">
        <w:t xml:space="preserve">. 2022;70(5):736-742. </w:t>
      </w:r>
      <w:proofErr w:type="gramStart"/>
      <w:r w:rsidRPr="00FE3642">
        <w:t>doi:10.1016/j.jadohealth</w:t>
      </w:r>
      <w:proofErr w:type="gramEnd"/>
      <w:r w:rsidRPr="00FE3642">
        <w:t>.2021.10.035</w:t>
      </w:r>
    </w:p>
    <w:p w14:paraId="69156BCA" w14:textId="77777777" w:rsidR="00FE3642" w:rsidRPr="00FE3642" w:rsidRDefault="00FE3642" w:rsidP="00FE3642">
      <w:pPr>
        <w:pStyle w:val="ListParagraph"/>
        <w:numPr>
          <w:ilvl w:val="0"/>
          <w:numId w:val="4"/>
        </w:numPr>
        <w:spacing w:after="160" w:line="360" w:lineRule="auto"/>
        <w:ind w:left="360"/>
      </w:pPr>
      <w:r w:rsidRPr="00FE3642">
        <w:t xml:space="preserve">Tucker JS, Shadel WG, Seelam R, </w:t>
      </w:r>
      <w:proofErr w:type="spellStart"/>
      <w:r w:rsidRPr="00FE3642">
        <w:t>Golinelli</w:t>
      </w:r>
      <w:proofErr w:type="spellEnd"/>
      <w:r w:rsidRPr="00FE3642">
        <w:t xml:space="preserve"> D, Siconolfi D. Co-use of tobacco and marijuana among young people experiencing homelessness in Los Angeles County. </w:t>
      </w:r>
      <w:r w:rsidRPr="00FE3642">
        <w:rPr>
          <w:i/>
          <w:iCs/>
        </w:rPr>
        <w:t>Drug Alcohol Dependence</w:t>
      </w:r>
      <w:r w:rsidRPr="00FE3642">
        <w:t xml:space="preserve">. </w:t>
      </w:r>
      <w:proofErr w:type="gramStart"/>
      <w:r w:rsidRPr="00FE3642">
        <w:t>2020;207:107809</w:t>
      </w:r>
      <w:proofErr w:type="gramEnd"/>
      <w:r w:rsidRPr="00FE3642">
        <w:t>.</w:t>
      </w:r>
    </w:p>
    <w:p w14:paraId="75D50471" w14:textId="77777777" w:rsidR="00FE3642" w:rsidRPr="00FE3642" w:rsidRDefault="00FE3642" w:rsidP="00FE3642">
      <w:pPr>
        <w:pStyle w:val="ListParagraph"/>
        <w:numPr>
          <w:ilvl w:val="0"/>
          <w:numId w:val="4"/>
        </w:numPr>
        <w:spacing w:after="160" w:line="360" w:lineRule="auto"/>
        <w:ind w:left="360"/>
      </w:pPr>
      <w:r w:rsidRPr="00FE3642">
        <w:t xml:space="preserve">Zhang J, Wu Q, </w:t>
      </w:r>
      <w:proofErr w:type="spellStart"/>
      <w:r w:rsidRPr="00FE3642">
        <w:t>Slesnick</w:t>
      </w:r>
      <w:proofErr w:type="spellEnd"/>
      <w:r w:rsidRPr="00FE3642">
        <w:t xml:space="preserve"> N. Social Problem-Solving and Suicidal Ideation Among Homeless Youth Receiving a Cognitive Therapy Intervention: A Moderated Mediation Analysis. </w:t>
      </w:r>
      <w:r w:rsidRPr="00FE3642">
        <w:rPr>
          <w:i/>
          <w:iCs/>
        </w:rPr>
        <w:t>Behavior Therapy</w:t>
      </w:r>
      <w:r w:rsidRPr="00FE3642">
        <w:t>. 2021;52(3):552-563.</w:t>
      </w:r>
    </w:p>
    <w:p w14:paraId="08184EA7"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FYSB’s Runaway and Homeless Youth Program funding 11 Youth Homeless Prevention Demonstration projects in FY 2023.  Family and Youth Services Bureau, Office of the Administration for Children and Families.  October 31, 2023.  Accessed October 20, 2024.  https://www.acf.hhs.gov/media/press/2023/fysbs-runaway-and-homeless-youth-program-funding-11-youth-homeless-prevention</w:t>
      </w:r>
    </w:p>
    <w:p w14:paraId="278E09DA"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Basic Center Program Fact Sheet.  Family and Youth Services Bureau, Office of the Administration for Children and Families.  April 2024.  Accessed October 20, 2024.  https://www.acf.hhs.gov/fysb/fact-sheet/basic-center-program-fact-sheet</w:t>
      </w:r>
    </w:p>
    <w:p w14:paraId="0F1CB7FB"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lastRenderedPageBreak/>
        <w:t>Transitional Living Program Fact Sheet.  Family and Youth Services Bureau, Office of the Administration for Children and Families.  April 2024.  Accessed October 20, 2024.  https://www.acf.hhs.gov/fysb/fact-sheet/transitional-living-program-fact-sheet</w:t>
      </w:r>
    </w:p>
    <w:p w14:paraId="5BCACC1C"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Maternity Group Homes.  Family and Youth Services Bureau, Office of the Administration for Children and Families.  April 2024.  Accessed October 20, 2024.  https://www.acf.hhs.gov/sites/default/files/documents/fysb/rhy-mgh-fact-sheet-508.pdf</w:t>
      </w:r>
    </w:p>
    <w:p w14:paraId="0E05234B"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Street Outreach Program Fact Sheet.  Family and Youth Services Bureau, Office of the Administration for Children and Families.  April 2024.  Accessed October 20, 2024.  https://www.acf.hhs.gov/fysb/fact-sheet/street-outreach-program-fact-sheet</w:t>
      </w:r>
    </w:p>
    <w:p w14:paraId="7627B4E8"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Maternal, Infant, and Early Childhood Home Visiting (MIECHV) Program.  Maternal &amp; Child Health, Health Resources &amp; Services Administration.  September 2024.  Accessed October 20, 2024.  https://mchb.hrsa.gov/programs-impact/programs/home-visiting/maternal-infant-early-childhood-home-visiting-miechv-program</w:t>
      </w:r>
    </w:p>
    <w:p w14:paraId="6C541F1D"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Education for Homeless Children and Youths (EHCY) Program.  U.S. Department of Education.  October 2023.  https://nche.ed.gov/wp-content/uploads/2018/12/ehcy_profile.pdf</w:t>
      </w:r>
    </w:p>
    <w:p w14:paraId="723A9F08"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FYI Vouchers for the Foster Youth to Independence Initiative.  U.S. Department of Housing and Urban Development.  October 10, 2024.  Accessed October 20, 2024.  https://www.hud.gov/program_offices/public_indian_housing/programs/hcv/fyi</w:t>
      </w:r>
    </w:p>
    <w:p w14:paraId="4DF3EDB7"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 xml:space="preserve">Continuum of Care Program.  U.S. Department of Housing and Urban Development. </w:t>
      </w:r>
      <w:proofErr w:type="gramStart"/>
      <w:r w:rsidRPr="00FE3642">
        <w:rPr>
          <w:rFonts w:ascii="Times New Roman" w:hAnsi="Times New Roman" w:cs="Times New Roman"/>
        </w:rPr>
        <w:t>August,</w:t>
      </w:r>
      <w:proofErr w:type="gramEnd"/>
      <w:r w:rsidRPr="00FE3642">
        <w:rPr>
          <w:rFonts w:ascii="Times New Roman" w:hAnsi="Times New Roman" w:cs="Times New Roman"/>
        </w:rPr>
        <w:t xml:space="preserve"> 30, 2024. https://www.hud.gov/program_offices/comm_planning/coc</w:t>
      </w:r>
    </w:p>
    <w:p w14:paraId="21F37068"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Youth Homelessness Demonstration Program.  U.S. Department of Housing and Urban Development.  October 30, 2024.  Accessed October 31, 2024.  https://www.hud.gov/program_offices/comm_planning/yhdp</w:t>
      </w:r>
    </w:p>
    <w:p w14:paraId="132C00FA"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John H. Chafee Foster Care Program for Successful Transition to Adulthood.  Children’s Bureau, Office of the Administration for Children &amp; Families.  June 27, 2024.  Accessed November 1, 2024.  https://www.acf.hhs.gov/cb/grant-funding/john-h-chafee-foster-care-independence-program</w:t>
      </w:r>
    </w:p>
    <w:p w14:paraId="1A2E3D55"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Temporary Assistance for Needy Families (TANF).  Office of Family Assistance, Office of the Administration for Children &amp; Families.  June 29, 2022.  Accessed November 1, 2024.  https://www.acf.hhs.gov/ofa/programs/temporary-assistance-needy-families-tanf</w:t>
      </w:r>
    </w:p>
    <w:p w14:paraId="7AF3966E"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lastRenderedPageBreak/>
        <w:t>People Experiencing Homelessness and Their Service Providers.  Social Security Administration.  n.d.  Accessed November 1, 2024. of https://www.ssa.gov/homelessness/?tl=0</w:t>
      </w:r>
    </w:p>
    <w:p w14:paraId="6DDEEEC6"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 xml:space="preserve">Supplemental Nutrition Assistance Program.  Food and Nutrition Service, U.S. Department of Agriculture.  </w:t>
      </w:r>
      <w:r w:rsidRPr="00FE3642">
        <w:rPr>
          <w:rFonts w:ascii="Times New Roman" w:hAnsi="Times New Roman" w:cs="Times New Roman"/>
          <w:shd w:val="clear" w:color="auto" w:fill="FFFFFF"/>
        </w:rPr>
        <w:t>July 01, 2024.  November 1, 2024.</w:t>
      </w:r>
      <w:r w:rsidRPr="00FE3642">
        <w:rPr>
          <w:rFonts w:ascii="Times New Roman" w:hAnsi="Times New Roman" w:cs="Times New Roman"/>
        </w:rPr>
        <w:t xml:space="preserve">  https://www.fns.usda.gov/snap/supplemental-nutrition-assistance-program</w:t>
      </w:r>
    </w:p>
    <w:p w14:paraId="1C7B02AA"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 xml:space="preserve">Special Supplemental Nutrition Program for Women, Infants, and Children (WIC).  Food and Nutrition Service, U.S. Department of Agriculture.  </w:t>
      </w:r>
      <w:r w:rsidRPr="00FE3642">
        <w:rPr>
          <w:rFonts w:ascii="Times New Roman" w:hAnsi="Times New Roman" w:cs="Times New Roman"/>
          <w:shd w:val="clear" w:color="auto" w:fill="FFFFFF"/>
        </w:rPr>
        <w:t>September 26, 2024.  November 1, 2024.</w:t>
      </w:r>
      <w:r w:rsidRPr="00FE3642">
        <w:rPr>
          <w:rFonts w:ascii="Times New Roman" w:hAnsi="Times New Roman" w:cs="Times New Roman"/>
        </w:rPr>
        <w:t xml:space="preserve">  https://www.fns.usda.gov/wic</w:t>
      </w:r>
    </w:p>
    <w:p w14:paraId="3621FA6B"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 xml:space="preserve">Child and Adult </w:t>
      </w:r>
      <w:proofErr w:type="gramStart"/>
      <w:r w:rsidRPr="00FE3642">
        <w:rPr>
          <w:rFonts w:ascii="Times New Roman" w:hAnsi="Times New Roman" w:cs="Times New Roman"/>
        </w:rPr>
        <w:t>Care Food</w:t>
      </w:r>
      <w:proofErr w:type="gramEnd"/>
      <w:r w:rsidRPr="00FE3642">
        <w:rPr>
          <w:rFonts w:ascii="Times New Roman" w:hAnsi="Times New Roman" w:cs="Times New Roman"/>
        </w:rPr>
        <w:t xml:space="preserve"> Program.  Food and Nutrition Service, U.S. Department of Agriculture.  </w:t>
      </w:r>
      <w:r w:rsidRPr="00FE3642">
        <w:rPr>
          <w:rFonts w:ascii="Times New Roman" w:hAnsi="Times New Roman" w:cs="Times New Roman"/>
          <w:shd w:val="clear" w:color="auto" w:fill="FFFFFF"/>
        </w:rPr>
        <w:t>July 01, 2024.  Accessed November 1, 2024.</w:t>
      </w:r>
      <w:r w:rsidRPr="00FE3642">
        <w:rPr>
          <w:rFonts w:ascii="Times New Roman" w:hAnsi="Times New Roman" w:cs="Times New Roman"/>
        </w:rPr>
        <w:t xml:space="preserve">  https://www.fns.usda.gov/cacfp</w:t>
      </w:r>
    </w:p>
    <w:p w14:paraId="5090995C"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 xml:space="preserve">SUN Bucks (Summer EBT).  Food and Nutrition Service, U.S. Department of Agriculture.  </w:t>
      </w:r>
      <w:r w:rsidRPr="00FE3642">
        <w:rPr>
          <w:rFonts w:ascii="Times New Roman" w:hAnsi="Times New Roman" w:cs="Times New Roman"/>
          <w:shd w:val="clear" w:color="auto" w:fill="FFFFFF"/>
        </w:rPr>
        <w:t>September 12, 2024.  November 1, 2024.</w:t>
      </w:r>
      <w:r w:rsidRPr="00FE3642">
        <w:rPr>
          <w:rFonts w:ascii="Times New Roman" w:hAnsi="Times New Roman" w:cs="Times New Roman"/>
        </w:rPr>
        <w:t xml:space="preserve">  https://www.fns.usda.gov/summer/sunbucks</w:t>
      </w:r>
    </w:p>
    <w:p w14:paraId="56584AFE"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 xml:space="preserve">National School Lunch Program.  Food and Nutrition Service, U.S. Department of Agriculture.  </w:t>
      </w:r>
      <w:r w:rsidRPr="00FE3642">
        <w:rPr>
          <w:rStyle w:val="apple-converted-space"/>
          <w:rFonts w:ascii="Times New Roman" w:hAnsi="Times New Roman" w:cs="Times New Roman"/>
          <w:shd w:val="clear" w:color="auto" w:fill="FFFFFF"/>
        </w:rPr>
        <w:t> </w:t>
      </w:r>
      <w:r w:rsidRPr="00FE3642">
        <w:rPr>
          <w:rFonts w:ascii="Times New Roman" w:hAnsi="Times New Roman" w:cs="Times New Roman"/>
          <w:shd w:val="clear" w:color="auto" w:fill="FFFFFF"/>
        </w:rPr>
        <w:t>July 01, 2024.  November 1, 2024.</w:t>
      </w:r>
      <w:r w:rsidRPr="00FE3642">
        <w:rPr>
          <w:rFonts w:ascii="Times New Roman" w:hAnsi="Times New Roman" w:cs="Times New Roman"/>
        </w:rPr>
        <w:t xml:space="preserve">  https://www.fns.usda.gov/nslp</w:t>
      </w:r>
    </w:p>
    <w:p w14:paraId="1441D3AF"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 xml:space="preserve">SUN Meals (Summer Food Service Program).  Food and Nutrition Service, U.S. Department of Agriculture.  </w:t>
      </w:r>
      <w:r w:rsidRPr="00FE3642">
        <w:rPr>
          <w:rStyle w:val="apple-converted-space"/>
          <w:rFonts w:ascii="Times New Roman" w:hAnsi="Times New Roman" w:cs="Times New Roman"/>
          <w:shd w:val="clear" w:color="auto" w:fill="FFFFFF"/>
        </w:rPr>
        <w:t> </w:t>
      </w:r>
      <w:r w:rsidRPr="00FE3642">
        <w:rPr>
          <w:rFonts w:ascii="Times New Roman" w:hAnsi="Times New Roman" w:cs="Times New Roman"/>
          <w:shd w:val="clear" w:color="auto" w:fill="FFFFFF"/>
        </w:rPr>
        <w:t>September 13, 2024.  November 1, 2024.</w:t>
      </w:r>
      <w:r w:rsidRPr="00FE3642">
        <w:rPr>
          <w:rFonts w:ascii="Times New Roman" w:hAnsi="Times New Roman" w:cs="Times New Roman"/>
        </w:rPr>
        <w:t xml:space="preserve">  https://www.fns.usda.gov/summer/sunmeals</w:t>
      </w:r>
    </w:p>
    <w:p w14:paraId="3C629925" w14:textId="7777777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 xml:space="preserve">Supplemental Security Income (SSI).  Social Security Administration.  n.d.  Accessed November 1, 2024.  </w:t>
      </w:r>
      <w:hyperlink r:id="rId22" w:history="1">
        <w:r w:rsidRPr="00FE3642">
          <w:rPr>
            <w:rStyle w:val="Hyperlink"/>
            <w:rFonts w:ascii="Times New Roman" w:hAnsi="Times New Roman" w:cs="Times New Roman"/>
            <w:color w:val="auto"/>
          </w:rPr>
          <w:t>https://www.ssa.gov/ssi</w:t>
        </w:r>
      </w:hyperlink>
    </w:p>
    <w:p w14:paraId="2D99FF9A" w14:textId="5F5921D8"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 xml:space="preserve">Ensign J. </w:t>
      </w:r>
      <w:r w:rsidR="0073042B">
        <w:rPr>
          <w:rFonts w:ascii="Times New Roman" w:hAnsi="Times New Roman" w:cs="Times New Roman"/>
        </w:rPr>
        <w:t xml:space="preserve"> </w:t>
      </w:r>
      <w:r w:rsidRPr="00FE3642">
        <w:rPr>
          <w:rFonts w:ascii="Times New Roman" w:hAnsi="Times New Roman" w:cs="Times New Roman"/>
        </w:rPr>
        <w:t>Ethical issues in qualitative health research with homeless youths. </w:t>
      </w:r>
      <w:r w:rsidR="0073042B">
        <w:rPr>
          <w:rFonts w:ascii="Times New Roman" w:hAnsi="Times New Roman" w:cs="Times New Roman"/>
        </w:rPr>
        <w:t xml:space="preserve"> </w:t>
      </w:r>
      <w:r w:rsidRPr="0073042B">
        <w:rPr>
          <w:rFonts w:ascii="Times New Roman" w:hAnsi="Times New Roman" w:cs="Times New Roman"/>
          <w:i/>
          <w:iCs/>
        </w:rPr>
        <w:t>Journal of Advanced Nursing</w:t>
      </w:r>
      <w:r w:rsidRPr="00FE3642">
        <w:rPr>
          <w:rFonts w:ascii="Times New Roman" w:hAnsi="Times New Roman" w:cs="Times New Roman"/>
        </w:rPr>
        <w:t>.</w:t>
      </w:r>
      <w:r w:rsidR="0073042B">
        <w:rPr>
          <w:rFonts w:ascii="Times New Roman" w:hAnsi="Times New Roman" w:cs="Times New Roman"/>
        </w:rPr>
        <w:t xml:space="preserve"> </w:t>
      </w:r>
      <w:r w:rsidRPr="00FE3642">
        <w:rPr>
          <w:rFonts w:ascii="Times New Roman" w:hAnsi="Times New Roman" w:cs="Times New Roman"/>
        </w:rPr>
        <w:t xml:space="preserve"> </w:t>
      </w:r>
      <w:proofErr w:type="gramStart"/>
      <w:r w:rsidRPr="00FE3642">
        <w:rPr>
          <w:rFonts w:ascii="Times New Roman" w:hAnsi="Times New Roman" w:cs="Times New Roman"/>
        </w:rPr>
        <w:t>2003;43:43</w:t>
      </w:r>
      <w:proofErr w:type="gramEnd"/>
      <w:r w:rsidRPr="00FE3642">
        <w:rPr>
          <w:rFonts w:ascii="Times New Roman" w:hAnsi="Times New Roman" w:cs="Times New Roman"/>
        </w:rPr>
        <w:t>-50.</w:t>
      </w:r>
    </w:p>
    <w:p w14:paraId="07EF84A6" w14:textId="0E3FA338"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 xml:space="preserve">Garcia AP, Minkler M, Cardenas Z, Grills C, Porter C. Engaging Homeless Youth in Community-Based Participatory Research: A Case Study </w:t>
      </w:r>
      <w:proofErr w:type="gramStart"/>
      <w:r w:rsidRPr="00FE3642">
        <w:rPr>
          <w:rFonts w:ascii="Times New Roman" w:hAnsi="Times New Roman" w:cs="Times New Roman"/>
        </w:rPr>
        <w:t>From</w:t>
      </w:r>
      <w:proofErr w:type="gramEnd"/>
      <w:r w:rsidRPr="00FE3642">
        <w:rPr>
          <w:rFonts w:ascii="Times New Roman" w:hAnsi="Times New Roman" w:cs="Times New Roman"/>
        </w:rPr>
        <w:t xml:space="preserve"> Skid Row, Los Angeles. </w:t>
      </w:r>
      <w:r w:rsidRPr="0073042B">
        <w:rPr>
          <w:rFonts w:ascii="Times New Roman" w:hAnsi="Times New Roman" w:cs="Times New Roman"/>
          <w:i/>
          <w:iCs/>
        </w:rPr>
        <w:t xml:space="preserve">Health </w:t>
      </w:r>
      <w:r w:rsidR="0073042B">
        <w:rPr>
          <w:rFonts w:ascii="Times New Roman" w:hAnsi="Times New Roman" w:cs="Times New Roman"/>
          <w:i/>
          <w:iCs/>
        </w:rPr>
        <w:t>P</w:t>
      </w:r>
      <w:r w:rsidRPr="0073042B">
        <w:rPr>
          <w:rFonts w:ascii="Times New Roman" w:hAnsi="Times New Roman" w:cs="Times New Roman"/>
          <w:i/>
          <w:iCs/>
        </w:rPr>
        <w:t xml:space="preserve">romotion </w:t>
      </w:r>
      <w:r w:rsidR="0073042B">
        <w:rPr>
          <w:rFonts w:ascii="Times New Roman" w:hAnsi="Times New Roman" w:cs="Times New Roman"/>
          <w:i/>
          <w:iCs/>
        </w:rPr>
        <w:t>P</w:t>
      </w:r>
      <w:r w:rsidRPr="0073042B">
        <w:rPr>
          <w:rFonts w:ascii="Times New Roman" w:hAnsi="Times New Roman" w:cs="Times New Roman"/>
          <w:i/>
          <w:iCs/>
        </w:rPr>
        <w:t>ractice</w:t>
      </w:r>
      <w:r w:rsidRPr="00FE3642">
        <w:rPr>
          <w:rFonts w:ascii="Times New Roman" w:hAnsi="Times New Roman" w:cs="Times New Roman"/>
        </w:rPr>
        <w:t>.</w:t>
      </w:r>
      <w:r w:rsidR="0073042B">
        <w:rPr>
          <w:rFonts w:ascii="Times New Roman" w:hAnsi="Times New Roman" w:cs="Times New Roman"/>
        </w:rPr>
        <w:t xml:space="preserve"> </w:t>
      </w:r>
      <w:r w:rsidRPr="00FE3642">
        <w:rPr>
          <w:rFonts w:ascii="Times New Roman" w:hAnsi="Times New Roman" w:cs="Times New Roman"/>
        </w:rPr>
        <w:t xml:space="preserve"> </w:t>
      </w:r>
      <w:proofErr w:type="gramStart"/>
      <w:r w:rsidRPr="00FE3642">
        <w:rPr>
          <w:rFonts w:ascii="Times New Roman" w:hAnsi="Times New Roman" w:cs="Times New Roman"/>
        </w:rPr>
        <w:t>2014;15:18</w:t>
      </w:r>
      <w:proofErr w:type="gramEnd"/>
      <w:r w:rsidRPr="00FE3642">
        <w:rPr>
          <w:rFonts w:ascii="Times New Roman" w:hAnsi="Times New Roman" w:cs="Times New Roman"/>
        </w:rPr>
        <w:t>-27.</w:t>
      </w:r>
    </w:p>
    <w:p w14:paraId="0AC095A5" w14:textId="6D24EC37" w:rsidR="00FE3642" w:rsidRPr="00FE3642" w:rsidRDefault="00FE3642" w:rsidP="00FE3642">
      <w:pPr>
        <w:pStyle w:val="NoSpacing"/>
        <w:numPr>
          <w:ilvl w:val="0"/>
          <w:numId w:val="4"/>
        </w:numPr>
        <w:spacing w:line="360" w:lineRule="auto"/>
        <w:ind w:left="360"/>
        <w:rPr>
          <w:rFonts w:ascii="Times New Roman" w:hAnsi="Times New Roman" w:cs="Times New Roman"/>
        </w:rPr>
      </w:pPr>
      <w:r w:rsidRPr="00FE3642">
        <w:rPr>
          <w:rFonts w:ascii="Times New Roman" w:hAnsi="Times New Roman" w:cs="Times New Roman"/>
        </w:rPr>
        <w:t>How We Conduct Research on Homelessness Matters as Much as Our Findings.  National Alliance to End Homelessness.  January 13, 2015.  Accessed November 1</w:t>
      </w:r>
      <w:r w:rsidR="00825E16">
        <w:rPr>
          <w:rFonts w:ascii="Times New Roman" w:hAnsi="Times New Roman" w:cs="Times New Roman"/>
        </w:rPr>
        <w:t>0</w:t>
      </w:r>
      <w:r w:rsidRPr="00FE3642">
        <w:rPr>
          <w:rFonts w:ascii="Times New Roman" w:hAnsi="Times New Roman" w:cs="Times New Roman"/>
        </w:rPr>
        <w:t>, 2024.  https://endhomelessness.org/blog/how-we-conduct-research-on-homelessness-matters-as-much-as-our-findings</w:t>
      </w:r>
    </w:p>
    <w:bookmarkEnd w:id="0"/>
    <w:bookmarkEnd w:id="1"/>
    <w:p w14:paraId="101EFCA2" w14:textId="3DBE492C" w:rsidR="00AB3147" w:rsidRPr="00707C0F" w:rsidRDefault="00AB3147" w:rsidP="00500913">
      <w:pPr>
        <w:pStyle w:val="NoSpacing"/>
        <w:spacing w:line="360" w:lineRule="auto"/>
        <w:rPr>
          <w:rFonts w:asciiTheme="majorHAnsi" w:hAnsiTheme="majorHAnsi" w:cstheme="majorHAnsi"/>
        </w:rPr>
      </w:pPr>
    </w:p>
    <w:sectPr w:rsidR="00AB3147" w:rsidRPr="00707C0F" w:rsidSect="001A037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9DEAA" w14:textId="77777777" w:rsidR="000E4B55" w:rsidRDefault="000E4B55">
      <w:r>
        <w:separator/>
      </w:r>
    </w:p>
  </w:endnote>
  <w:endnote w:type="continuationSeparator" w:id="0">
    <w:p w14:paraId="4CE8DF61" w14:textId="77777777" w:rsidR="000E4B55" w:rsidRDefault="000E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55297380"/>
      <w:docPartObj>
        <w:docPartGallery w:val="Page Numbers (Bottom of Page)"/>
        <w:docPartUnique/>
      </w:docPartObj>
    </w:sdtPr>
    <w:sdtEndPr>
      <w:rPr>
        <w:rStyle w:val="PageNumber"/>
      </w:rPr>
    </w:sdtEndPr>
    <w:sdtContent>
      <w:p w14:paraId="45046968" w14:textId="77777777" w:rsidR="00C92EB7" w:rsidRDefault="00C92EB7" w:rsidP="007B4B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4C87CE" w14:textId="77777777" w:rsidR="00C92EB7" w:rsidRDefault="00C92EB7" w:rsidP="007B4B56">
    <w:pPr>
      <w:pStyle w:val="Footer"/>
      <w:ind w:right="360"/>
    </w:pPr>
  </w:p>
  <w:p w14:paraId="7402DF8C" w14:textId="77777777" w:rsidR="00C92EB7" w:rsidRDefault="00C92E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2322831"/>
      <w:docPartObj>
        <w:docPartGallery w:val="Page Numbers (Bottom of Page)"/>
        <w:docPartUnique/>
      </w:docPartObj>
    </w:sdtPr>
    <w:sdtEndPr>
      <w:rPr>
        <w:rStyle w:val="PageNumber"/>
        <w:rFonts w:asciiTheme="majorHAnsi" w:hAnsiTheme="majorHAnsi" w:cstheme="majorHAnsi"/>
      </w:rPr>
    </w:sdtEndPr>
    <w:sdtContent>
      <w:p w14:paraId="13DBC82F" w14:textId="77777777" w:rsidR="00C92EB7" w:rsidRPr="00515454" w:rsidRDefault="00C92EB7" w:rsidP="007B4B56">
        <w:pPr>
          <w:pStyle w:val="Footer"/>
          <w:framePr w:wrap="none" w:vAnchor="text" w:hAnchor="margin" w:xAlign="right" w:y="1"/>
          <w:rPr>
            <w:rStyle w:val="PageNumber"/>
            <w:rFonts w:asciiTheme="majorHAnsi" w:hAnsiTheme="majorHAnsi" w:cstheme="majorHAnsi"/>
          </w:rPr>
        </w:pPr>
        <w:r w:rsidRPr="00515454">
          <w:rPr>
            <w:rStyle w:val="PageNumber"/>
            <w:rFonts w:asciiTheme="majorHAnsi" w:hAnsiTheme="majorHAnsi" w:cstheme="majorHAnsi"/>
          </w:rPr>
          <w:fldChar w:fldCharType="begin"/>
        </w:r>
        <w:r w:rsidRPr="00515454">
          <w:rPr>
            <w:rStyle w:val="PageNumber"/>
            <w:rFonts w:asciiTheme="majorHAnsi" w:hAnsiTheme="majorHAnsi" w:cstheme="majorHAnsi"/>
          </w:rPr>
          <w:instrText xml:space="preserve"> PAGE </w:instrText>
        </w:r>
        <w:r w:rsidRPr="00515454">
          <w:rPr>
            <w:rStyle w:val="PageNumber"/>
            <w:rFonts w:asciiTheme="majorHAnsi" w:hAnsiTheme="majorHAnsi" w:cstheme="majorHAnsi"/>
          </w:rPr>
          <w:fldChar w:fldCharType="separate"/>
        </w:r>
        <w:r w:rsidRPr="00515454">
          <w:rPr>
            <w:rStyle w:val="PageNumber"/>
            <w:rFonts w:asciiTheme="majorHAnsi" w:hAnsiTheme="majorHAnsi" w:cstheme="majorHAnsi"/>
            <w:noProof/>
          </w:rPr>
          <w:t>2</w:t>
        </w:r>
        <w:r w:rsidRPr="00515454">
          <w:rPr>
            <w:rStyle w:val="PageNumber"/>
            <w:rFonts w:asciiTheme="majorHAnsi" w:hAnsiTheme="majorHAnsi" w:cstheme="majorHAnsi"/>
          </w:rPr>
          <w:fldChar w:fldCharType="end"/>
        </w:r>
      </w:p>
    </w:sdtContent>
  </w:sdt>
  <w:p w14:paraId="719B8126" w14:textId="77777777" w:rsidR="00C92EB7" w:rsidRPr="00515454" w:rsidRDefault="00C92EB7" w:rsidP="007B4B56">
    <w:pPr>
      <w:pStyle w:val="Footer"/>
      <w:ind w:right="360"/>
      <w:rPr>
        <w:rFonts w:asciiTheme="majorHAnsi" w:hAnsiTheme="majorHAnsi" w:cstheme="majorHAnsi"/>
      </w:rPr>
    </w:pPr>
  </w:p>
  <w:p w14:paraId="75B672FB" w14:textId="77777777" w:rsidR="00C92EB7" w:rsidRDefault="00C92E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127B1" w14:textId="77777777" w:rsidR="008E5CA1" w:rsidRDefault="008E5C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8593817"/>
      <w:docPartObj>
        <w:docPartGallery w:val="Page Numbers (Bottom of Page)"/>
        <w:docPartUnique/>
      </w:docPartObj>
    </w:sdtPr>
    <w:sdtEndPr>
      <w:rPr>
        <w:rStyle w:val="PageNumber"/>
      </w:rPr>
    </w:sdtEndPr>
    <w:sdtContent>
      <w:p w14:paraId="1664BF9A" w14:textId="77777777" w:rsidR="002F6D2C" w:rsidRDefault="002F6D2C" w:rsidP="002363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173FED" w14:textId="77777777" w:rsidR="002F6D2C" w:rsidRDefault="002F6D2C" w:rsidP="00515454">
    <w:pPr>
      <w:pStyle w:val="Footer"/>
      <w:ind w:right="360"/>
    </w:pPr>
  </w:p>
  <w:p w14:paraId="40FC3DCA" w14:textId="77777777" w:rsidR="002F6D2C" w:rsidRDefault="002F6D2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5714668"/>
      <w:docPartObj>
        <w:docPartGallery w:val="Page Numbers (Bottom of Page)"/>
        <w:docPartUnique/>
      </w:docPartObj>
    </w:sdtPr>
    <w:sdtEndPr>
      <w:rPr>
        <w:rStyle w:val="PageNumber"/>
        <w:rFonts w:asciiTheme="majorHAnsi" w:hAnsiTheme="majorHAnsi" w:cstheme="majorHAnsi"/>
      </w:rPr>
    </w:sdtEndPr>
    <w:sdtContent>
      <w:p w14:paraId="235759E8" w14:textId="77777777" w:rsidR="002F6D2C" w:rsidRPr="00515454" w:rsidRDefault="002F6D2C" w:rsidP="0023638A">
        <w:pPr>
          <w:pStyle w:val="Footer"/>
          <w:framePr w:wrap="none" w:vAnchor="text" w:hAnchor="margin" w:xAlign="right" w:y="1"/>
          <w:rPr>
            <w:rStyle w:val="PageNumber"/>
            <w:rFonts w:asciiTheme="majorHAnsi" w:hAnsiTheme="majorHAnsi" w:cstheme="majorHAnsi"/>
          </w:rPr>
        </w:pPr>
        <w:r w:rsidRPr="00515454">
          <w:rPr>
            <w:rStyle w:val="PageNumber"/>
            <w:rFonts w:asciiTheme="majorHAnsi" w:hAnsiTheme="majorHAnsi" w:cstheme="majorHAnsi"/>
          </w:rPr>
          <w:fldChar w:fldCharType="begin"/>
        </w:r>
        <w:r w:rsidRPr="00515454">
          <w:rPr>
            <w:rStyle w:val="PageNumber"/>
            <w:rFonts w:asciiTheme="majorHAnsi" w:hAnsiTheme="majorHAnsi" w:cstheme="majorHAnsi"/>
          </w:rPr>
          <w:instrText xml:space="preserve"> PAGE </w:instrText>
        </w:r>
        <w:r w:rsidRPr="00515454">
          <w:rPr>
            <w:rStyle w:val="PageNumber"/>
            <w:rFonts w:asciiTheme="majorHAnsi" w:hAnsiTheme="majorHAnsi" w:cstheme="majorHAnsi"/>
          </w:rPr>
          <w:fldChar w:fldCharType="separate"/>
        </w:r>
        <w:r w:rsidRPr="00515454">
          <w:rPr>
            <w:rStyle w:val="PageNumber"/>
            <w:rFonts w:asciiTheme="majorHAnsi" w:hAnsiTheme="majorHAnsi" w:cstheme="majorHAnsi"/>
            <w:noProof/>
          </w:rPr>
          <w:t>2</w:t>
        </w:r>
        <w:r w:rsidRPr="00515454">
          <w:rPr>
            <w:rStyle w:val="PageNumber"/>
            <w:rFonts w:asciiTheme="majorHAnsi" w:hAnsiTheme="majorHAnsi" w:cstheme="majorHAnsi"/>
          </w:rPr>
          <w:fldChar w:fldCharType="end"/>
        </w:r>
      </w:p>
    </w:sdtContent>
  </w:sdt>
  <w:p w14:paraId="6920D7C5" w14:textId="77777777" w:rsidR="002F6D2C" w:rsidRPr="00515454" w:rsidRDefault="002F6D2C" w:rsidP="00515454">
    <w:pPr>
      <w:pStyle w:val="Footer"/>
      <w:ind w:right="360"/>
      <w:rPr>
        <w:rFonts w:asciiTheme="majorHAnsi" w:hAnsiTheme="majorHAnsi" w:cstheme="majorHAnsi"/>
      </w:rPr>
    </w:pPr>
  </w:p>
  <w:p w14:paraId="2C028D24" w14:textId="77777777" w:rsidR="002F6D2C" w:rsidRDefault="002F6D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B59E1" w14:textId="77777777" w:rsidR="000E4B55" w:rsidRDefault="000E4B55">
      <w:r>
        <w:separator/>
      </w:r>
    </w:p>
  </w:footnote>
  <w:footnote w:type="continuationSeparator" w:id="0">
    <w:p w14:paraId="65740BE2" w14:textId="77777777" w:rsidR="000E4B55" w:rsidRDefault="000E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8508212"/>
      <w:docPartObj>
        <w:docPartGallery w:val="Page Numbers (Top of Page)"/>
        <w:docPartUnique/>
      </w:docPartObj>
    </w:sdtPr>
    <w:sdtEndPr>
      <w:rPr>
        <w:rStyle w:val="PageNumber"/>
      </w:rPr>
    </w:sdtEndPr>
    <w:sdtContent>
      <w:p w14:paraId="2D55233F" w14:textId="77777777" w:rsidR="00C92EB7" w:rsidRDefault="00C92EB7" w:rsidP="007B4B5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35FAAF" w14:textId="77777777" w:rsidR="00C92EB7" w:rsidRDefault="00C92EB7" w:rsidP="007B4B56">
    <w:pPr>
      <w:pStyle w:val="Header"/>
      <w:ind w:right="360"/>
    </w:pPr>
  </w:p>
  <w:p w14:paraId="4FDEDA66" w14:textId="77777777" w:rsidR="00C92EB7" w:rsidRDefault="00C92E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D212D" w14:textId="77777777" w:rsidR="00C92EB7" w:rsidRDefault="00C92EB7" w:rsidP="007B4B56">
    <w:pPr>
      <w:pStyle w:val="Header"/>
      <w:framePr w:wrap="none" w:vAnchor="text" w:hAnchor="margin" w:xAlign="right" w:y="1"/>
      <w:rPr>
        <w:rStyle w:val="PageNumber"/>
      </w:rPr>
    </w:pPr>
  </w:p>
  <w:p w14:paraId="077F9500" w14:textId="77777777" w:rsidR="00C92EB7" w:rsidRDefault="00C92EB7"/>
  <w:p w14:paraId="4483C4E4" w14:textId="77777777" w:rsidR="00C92EB7" w:rsidRDefault="00C92E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95E81" w14:textId="77777777" w:rsidR="008E5CA1" w:rsidRDefault="008E5C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6058126"/>
      <w:docPartObj>
        <w:docPartGallery w:val="Page Numbers (Top of Page)"/>
        <w:docPartUnique/>
      </w:docPartObj>
    </w:sdtPr>
    <w:sdtEndPr>
      <w:rPr>
        <w:rStyle w:val="PageNumber"/>
      </w:rPr>
    </w:sdtEndPr>
    <w:sdtContent>
      <w:p w14:paraId="723169C7" w14:textId="2A5F67CA" w:rsidR="002F6D2C" w:rsidRDefault="002F6D2C" w:rsidP="002363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6CB3E955" w14:textId="77777777" w:rsidR="002F6D2C" w:rsidRDefault="002F6D2C" w:rsidP="00712268">
    <w:pPr>
      <w:pStyle w:val="Header"/>
      <w:ind w:right="360"/>
    </w:pPr>
  </w:p>
  <w:p w14:paraId="4D0B4D67" w14:textId="77777777" w:rsidR="002F6D2C" w:rsidRDefault="002F6D2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1C668" w14:textId="77777777" w:rsidR="002F6D2C" w:rsidRDefault="002F6D2C" w:rsidP="0023638A">
    <w:pPr>
      <w:pStyle w:val="Header"/>
      <w:framePr w:wrap="none" w:vAnchor="text" w:hAnchor="margin" w:xAlign="right" w:y="1"/>
      <w:rPr>
        <w:rStyle w:val="PageNumber"/>
      </w:rPr>
    </w:pPr>
  </w:p>
  <w:p w14:paraId="6F557FEF" w14:textId="77777777" w:rsidR="002F6D2C" w:rsidRPr="00712268" w:rsidRDefault="002F6D2C" w:rsidP="00712268">
    <w:pPr>
      <w:pStyle w:val="Header"/>
      <w:tabs>
        <w:tab w:val="left" w:pos="8177"/>
        <w:tab w:val="right" w:pos="9000"/>
      </w:tabs>
      <w:ind w:right="360"/>
      <w:rPr>
        <w:rFonts w:asciiTheme="majorHAnsi" w:hAnsiTheme="majorHAnsi" w:cstheme="majorHAnsi"/>
      </w:rPr>
    </w:pPr>
    <w:r w:rsidRPr="00712268">
      <w:rPr>
        <w:rFonts w:asciiTheme="majorHAnsi" w:hAnsiTheme="majorHAnsi" w:cstheme="majorHAnsi"/>
      </w:rPr>
      <w:t xml:space="preserve">Increasing Knowledge on Youth Housing Instability </w:t>
    </w:r>
    <w:r w:rsidRPr="00712268">
      <w:rPr>
        <w:rFonts w:asciiTheme="majorHAnsi" w:hAnsiTheme="majorHAnsi" w:cstheme="majorHAnsi"/>
      </w:rPr>
      <w:tab/>
    </w:r>
  </w:p>
  <w:p w14:paraId="3E19F347" w14:textId="77777777" w:rsidR="002F6D2C" w:rsidRDefault="002F6D2C"/>
  <w:p w14:paraId="0496C396" w14:textId="77777777" w:rsidR="002F6D2C" w:rsidRDefault="002F6D2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0D932" w14:textId="75CC61A1" w:rsidR="002F6D2C" w:rsidRDefault="002F6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452"/>
    <w:multiLevelType w:val="hybridMultilevel"/>
    <w:tmpl w:val="7CA2BE2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87929"/>
    <w:multiLevelType w:val="hybridMultilevel"/>
    <w:tmpl w:val="EEA8413A"/>
    <w:lvl w:ilvl="0" w:tplc="9DAA2294">
      <w:start w:val="1"/>
      <w:numFmt w:val="decimal"/>
      <w:lvlText w:val="%1."/>
      <w:lvlJc w:val="left"/>
      <w:pPr>
        <w:ind w:left="1065" w:hanging="229"/>
      </w:pPr>
      <w:rPr>
        <w:rFonts w:ascii="Cambria" w:eastAsia="Cambria" w:hAnsi="Cambria" w:cs="Cambria" w:hint="default"/>
        <w:b w:val="0"/>
        <w:bCs w:val="0"/>
        <w:i w:val="0"/>
        <w:iCs w:val="0"/>
        <w:spacing w:val="-2"/>
        <w:w w:val="103"/>
        <w:sz w:val="23"/>
        <w:szCs w:val="23"/>
        <w:lang w:val="en-US" w:eastAsia="en-US" w:bidi="ar-SA"/>
      </w:rPr>
    </w:lvl>
    <w:lvl w:ilvl="1" w:tplc="D5CA51F0">
      <w:numFmt w:val="bullet"/>
      <w:lvlText w:val="•"/>
      <w:lvlJc w:val="left"/>
      <w:pPr>
        <w:ind w:left="2048" w:hanging="229"/>
      </w:pPr>
      <w:rPr>
        <w:rFonts w:hint="default"/>
        <w:lang w:val="en-US" w:eastAsia="en-US" w:bidi="ar-SA"/>
      </w:rPr>
    </w:lvl>
    <w:lvl w:ilvl="2" w:tplc="D1C03F48">
      <w:numFmt w:val="bullet"/>
      <w:lvlText w:val="•"/>
      <w:lvlJc w:val="left"/>
      <w:pPr>
        <w:ind w:left="3036" w:hanging="229"/>
      </w:pPr>
      <w:rPr>
        <w:rFonts w:hint="default"/>
        <w:lang w:val="en-US" w:eastAsia="en-US" w:bidi="ar-SA"/>
      </w:rPr>
    </w:lvl>
    <w:lvl w:ilvl="3" w:tplc="FC667D28">
      <w:numFmt w:val="bullet"/>
      <w:lvlText w:val="•"/>
      <w:lvlJc w:val="left"/>
      <w:pPr>
        <w:ind w:left="4024" w:hanging="229"/>
      </w:pPr>
      <w:rPr>
        <w:rFonts w:hint="default"/>
        <w:lang w:val="en-US" w:eastAsia="en-US" w:bidi="ar-SA"/>
      </w:rPr>
    </w:lvl>
    <w:lvl w:ilvl="4" w:tplc="EDD45DC6">
      <w:numFmt w:val="bullet"/>
      <w:lvlText w:val="•"/>
      <w:lvlJc w:val="left"/>
      <w:pPr>
        <w:ind w:left="5012" w:hanging="229"/>
      </w:pPr>
      <w:rPr>
        <w:rFonts w:hint="default"/>
        <w:lang w:val="en-US" w:eastAsia="en-US" w:bidi="ar-SA"/>
      </w:rPr>
    </w:lvl>
    <w:lvl w:ilvl="5" w:tplc="DA20A66C">
      <w:numFmt w:val="bullet"/>
      <w:lvlText w:val="•"/>
      <w:lvlJc w:val="left"/>
      <w:pPr>
        <w:ind w:left="6000" w:hanging="229"/>
      </w:pPr>
      <w:rPr>
        <w:rFonts w:hint="default"/>
        <w:lang w:val="en-US" w:eastAsia="en-US" w:bidi="ar-SA"/>
      </w:rPr>
    </w:lvl>
    <w:lvl w:ilvl="6" w:tplc="11ECD5CE">
      <w:numFmt w:val="bullet"/>
      <w:lvlText w:val="•"/>
      <w:lvlJc w:val="left"/>
      <w:pPr>
        <w:ind w:left="6988" w:hanging="229"/>
      </w:pPr>
      <w:rPr>
        <w:rFonts w:hint="default"/>
        <w:lang w:val="en-US" w:eastAsia="en-US" w:bidi="ar-SA"/>
      </w:rPr>
    </w:lvl>
    <w:lvl w:ilvl="7" w:tplc="EA38ED08">
      <w:numFmt w:val="bullet"/>
      <w:lvlText w:val="•"/>
      <w:lvlJc w:val="left"/>
      <w:pPr>
        <w:ind w:left="7976" w:hanging="229"/>
      </w:pPr>
      <w:rPr>
        <w:rFonts w:hint="default"/>
        <w:lang w:val="en-US" w:eastAsia="en-US" w:bidi="ar-SA"/>
      </w:rPr>
    </w:lvl>
    <w:lvl w:ilvl="8" w:tplc="0EDA4816">
      <w:numFmt w:val="bullet"/>
      <w:lvlText w:val="•"/>
      <w:lvlJc w:val="left"/>
      <w:pPr>
        <w:ind w:left="8964" w:hanging="229"/>
      </w:pPr>
      <w:rPr>
        <w:rFonts w:hint="default"/>
        <w:lang w:val="en-US" w:eastAsia="en-US" w:bidi="ar-SA"/>
      </w:rPr>
    </w:lvl>
  </w:abstractNum>
  <w:abstractNum w:abstractNumId="2" w15:restartNumberingAfterBreak="0">
    <w:nsid w:val="2A134BDB"/>
    <w:multiLevelType w:val="hybridMultilevel"/>
    <w:tmpl w:val="B512F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47E91"/>
    <w:multiLevelType w:val="hybridMultilevel"/>
    <w:tmpl w:val="B5727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25EA6"/>
    <w:multiLevelType w:val="hybridMultilevel"/>
    <w:tmpl w:val="EFA08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F61F85"/>
    <w:multiLevelType w:val="hybridMultilevel"/>
    <w:tmpl w:val="B8FAE8EA"/>
    <w:lvl w:ilvl="0" w:tplc="A7749C5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A891B89"/>
    <w:multiLevelType w:val="hybridMultilevel"/>
    <w:tmpl w:val="2CCA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534688">
    <w:abstractNumId w:val="2"/>
  </w:num>
  <w:num w:numId="2" w16cid:durableId="37629605">
    <w:abstractNumId w:val="3"/>
  </w:num>
  <w:num w:numId="3" w16cid:durableId="420836737">
    <w:abstractNumId w:val="1"/>
  </w:num>
  <w:num w:numId="4" w16cid:durableId="1929583773">
    <w:abstractNumId w:val="5"/>
  </w:num>
  <w:num w:numId="5" w16cid:durableId="977027050">
    <w:abstractNumId w:val="0"/>
  </w:num>
  <w:num w:numId="6" w16cid:durableId="1151213316">
    <w:abstractNumId w:val="6"/>
  </w:num>
  <w:num w:numId="7" w16cid:durableId="1590656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0F"/>
    <w:rsid w:val="000429BD"/>
    <w:rsid w:val="00096BD7"/>
    <w:rsid w:val="000E4B55"/>
    <w:rsid w:val="001215F0"/>
    <w:rsid w:val="001246D0"/>
    <w:rsid w:val="00152CE9"/>
    <w:rsid w:val="00153B0C"/>
    <w:rsid w:val="001D1442"/>
    <w:rsid w:val="001D6886"/>
    <w:rsid w:val="00211C5E"/>
    <w:rsid w:val="00225C20"/>
    <w:rsid w:val="00241E30"/>
    <w:rsid w:val="002573BE"/>
    <w:rsid w:val="00296A60"/>
    <w:rsid w:val="002C2C95"/>
    <w:rsid w:val="002F6D2C"/>
    <w:rsid w:val="00300366"/>
    <w:rsid w:val="00335DFD"/>
    <w:rsid w:val="00387D48"/>
    <w:rsid w:val="003A2B94"/>
    <w:rsid w:val="003C0A19"/>
    <w:rsid w:val="003D349F"/>
    <w:rsid w:val="00403120"/>
    <w:rsid w:val="0048088F"/>
    <w:rsid w:val="004E5A9D"/>
    <w:rsid w:val="004E5EB4"/>
    <w:rsid w:val="00500913"/>
    <w:rsid w:val="0053664E"/>
    <w:rsid w:val="005657DB"/>
    <w:rsid w:val="00596285"/>
    <w:rsid w:val="005A13F7"/>
    <w:rsid w:val="005D201A"/>
    <w:rsid w:val="0064441B"/>
    <w:rsid w:val="00645B2D"/>
    <w:rsid w:val="00677687"/>
    <w:rsid w:val="0068104D"/>
    <w:rsid w:val="00683888"/>
    <w:rsid w:val="00686DEA"/>
    <w:rsid w:val="006B52E5"/>
    <w:rsid w:val="006B6263"/>
    <w:rsid w:val="006C5682"/>
    <w:rsid w:val="006C6E65"/>
    <w:rsid w:val="00707C0F"/>
    <w:rsid w:val="0073042B"/>
    <w:rsid w:val="007553B7"/>
    <w:rsid w:val="00761D10"/>
    <w:rsid w:val="007A1B3E"/>
    <w:rsid w:val="007B3FA9"/>
    <w:rsid w:val="00825E16"/>
    <w:rsid w:val="0086060F"/>
    <w:rsid w:val="00864EB2"/>
    <w:rsid w:val="008A34C6"/>
    <w:rsid w:val="008E5CA1"/>
    <w:rsid w:val="00900D58"/>
    <w:rsid w:val="00904AB7"/>
    <w:rsid w:val="00982950"/>
    <w:rsid w:val="009C42BA"/>
    <w:rsid w:val="00A21850"/>
    <w:rsid w:val="00AB3147"/>
    <w:rsid w:val="00AD1744"/>
    <w:rsid w:val="00AF3D69"/>
    <w:rsid w:val="00B21E64"/>
    <w:rsid w:val="00B26355"/>
    <w:rsid w:val="00B85C0C"/>
    <w:rsid w:val="00B86180"/>
    <w:rsid w:val="00BC0756"/>
    <w:rsid w:val="00BF1AA6"/>
    <w:rsid w:val="00BF5E3C"/>
    <w:rsid w:val="00C66410"/>
    <w:rsid w:val="00C92EB7"/>
    <w:rsid w:val="00CA7A2A"/>
    <w:rsid w:val="00CC6531"/>
    <w:rsid w:val="00CE1B3A"/>
    <w:rsid w:val="00D30CD5"/>
    <w:rsid w:val="00D4376E"/>
    <w:rsid w:val="00D73367"/>
    <w:rsid w:val="00D90B8C"/>
    <w:rsid w:val="00DB2754"/>
    <w:rsid w:val="00E63F81"/>
    <w:rsid w:val="00E71F47"/>
    <w:rsid w:val="00EB71DC"/>
    <w:rsid w:val="00F15239"/>
    <w:rsid w:val="00F23779"/>
    <w:rsid w:val="00F31332"/>
    <w:rsid w:val="00F32E79"/>
    <w:rsid w:val="00F54200"/>
    <w:rsid w:val="00F6515D"/>
    <w:rsid w:val="00FA3317"/>
    <w:rsid w:val="00FB01DE"/>
    <w:rsid w:val="00FB20CE"/>
    <w:rsid w:val="00FB55CE"/>
    <w:rsid w:val="00FE0CBA"/>
    <w:rsid w:val="00FE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939B"/>
  <w15:chartTrackingRefBased/>
  <w15:docId w15:val="{D1ABEF97-02E5-8D4D-9269-69ABDB31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C0F"/>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237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37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2377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2377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377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377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377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377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37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3779"/>
  </w:style>
  <w:style w:type="character" w:customStyle="1" w:styleId="Heading1Char">
    <w:name w:val="Heading 1 Char"/>
    <w:basedOn w:val="DefaultParagraphFont"/>
    <w:link w:val="Heading1"/>
    <w:uiPriority w:val="9"/>
    <w:rsid w:val="00F2377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F2377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F23779"/>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F23779"/>
    <w:rPr>
      <w:rFonts w:asciiTheme="majorHAnsi" w:eastAsiaTheme="majorEastAsia" w:hAnsiTheme="majorHAnsi" w:cstheme="majorBidi"/>
      <w:i/>
      <w:iCs/>
      <w:color w:val="2F5496" w:themeColor="accent1" w:themeShade="BF"/>
      <w:kern w:val="0"/>
      <w:szCs w:val="22"/>
      <w14:ligatures w14:val="none"/>
    </w:rPr>
  </w:style>
  <w:style w:type="character" w:customStyle="1" w:styleId="Heading5Char">
    <w:name w:val="Heading 5 Char"/>
    <w:basedOn w:val="DefaultParagraphFont"/>
    <w:link w:val="Heading5"/>
    <w:uiPriority w:val="9"/>
    <w:semiHidden/>
    <w:rsid w:val="00F23779"/>
    <w:rPr>
      <w:rFonts w:asciiTheme="majorHAnsi" w:eastAsiaTheme="majorEastAsia" w:hAnsiTheme="majorHAnsi" w:cstheme="majorBidi"/>
      <w:color w:val="2F5496" w:themeColor="accent1" w:themeShade="BF"/>
      <w:kern w:val="0"/>
      <w:szCs w:val="22"/>
      <w14:ligatures w14:val="none"/>
    </w:rPr>
  </w:style>
  <w:style w:type="character" w:customStyle="1" w:styleId="Heading6Char">
    <w:name w:val="Heading 6 Char"/>
    <w:basedOn w:val="DefaultParagraphFont"/>
    <w:link w:val="Heading6"/>
    <w:uiPriority w:val="9"/>
    <w:semiHidden/>
    <w:rsid w:val="00F23779"/>
    <w:rPr>
      <w:rFonts w:asciiTheme="majorHAnsi" w:eastAsiaTheme="majorEastAsia" w:hAnsiTheme="majorHAnsi" w:cstheme="majorBidi"/>
      <w:color w:val="1F3763" w:themeColor="accent1" w:themeShade="7F"/>
      <w:kern w:val="0"/>
      <w:szCs w:val="22"/>
      <w14:ligatures w14:val="none"/>
    </w:rPr>
  </w:style>
  <w:style w:type="character" w:customStyle="1" w:styleId="Heading7Char">
    <w:name w:val="Heading 7 Char"/>
    <w:basedOn w:val="DefaultParagraphFont"/>
    <w:link w:val="Heading7"/>
    <w:uiPriority w:val="9"/>
    <w:semiHidden/>
    <w:rsid w:val="00F23779"/>
    <w:rPr>
      <w:rFonts w:asciiTheme="majorHAnsi" w:eastAsiaTheme="majorEastAsia" w:hAnsiTheme="majorHAnsi" w:cstheme="majorBidi"/>
      <w:i/>
      <w:iCs/>
      <w:color w:val="1F3763" w:themeColor="accent1" w:themeShade="7F"/>
      <w:kern w:val="0"/>
      <w:szCs w:val="22"/>
      <w14:ligatures w14:val="none"/>
    </w:rPr>
  </w:style>
  <w:style w:type="character" w:customStyle="1" w:styleId="Heading8Char">
    <w:name w:val="Heading 8 Char"/>
    <w:basedOn w:val="DefaultParagraphFont"/>
    <w:link w:val="Heading8"/>
    <w:uiPriority w:val="9"/>
    <w:semiHidden/>
    <w:rsid w:val="00F23779"/>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F23779"/>
    <w:rPr>
      <w:rFonts w:asciiTheme="majorHAnsi" w:eastAsiaTheme="majorEastAsia" w:hAnsiTheme="majorHAnsi" w:cstheme="majorBidi"/>
      <w:i/>
      <w:iCs/>
      <w:color w:val="272727" w:themeColor="text1" w:themeTint="D8"/>
      <w:kern w:val="0"/>
      <w:sz w:val="21"/>
      <w:szCs w:val="21"/>
      <w14:ligatures w14:val="none"/>
    </w:rPr>
  </w:style>
  <w:style w:type="paragraph" w:styleId="Caption">
    <w:name w:val="caption"/>
    <w:basedOn w:val="Normal"/>
    <w:next w:val="Normal"/>
    <w:uiPriority w:val="35"/>
    <w:semiHidden/>
    <w:unhideWhenUsed/>
    <w:qFormat/>
    <w:rsid w:val="00F23779"/>
    <w:pPr>
      <w:spacing w:after="200"/>
    </w:pPr>
    <w:rPr>
      <w:i/>
      <w:iCs/>
      <w:color w:val="44546A" w:themeColor="text2"/>
      <w:sz w:val="18"/>
      <w:szCs w:val="18"/>
    </w:rPr>
  </w:style>
  <w:style w:type="paragraph" w:styleId="Title">
    <w:name w:val="Title"/>
    <w:basedOn w:val="Normal"/>
    <w:next w:val="Normal"/>
    <w:link w:val="TitleChar"/>
    <w:uiPriority w:val="10"/>
    <w:qFormat/>
    <w:rsid w:val="00F237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77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2377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3779"/>
    <w:rPr>
      <w:rFonts w:ascii="Times New Roman" w:eastAsiaTheme="minorEastAsia" w:hAnsi="Times New Roman"/>
      <w:color w:val="5A5A5A" w:themeColor="text1" w:themeTint="A5"/>
      <w:spacing w:val="15"/>
      <w:kern w:val="0"/>
      <w:szCs w:val="22"/>
      <w14:ligatures w14:val="none"/>
    </w:rPr>
  </w:style>
  <w:style w:type="character" w:styleId="Strong">
    <w:name w:val="Strong"/>
    <w:uiPriority w:val="22"/>
    <w:qFormat/>
    <w:rsid w:val="00F23779"/>
    <w:rPr>
      <w:b/>
      <w:bCs/>
    </w:rPr>
  </w:style>
  <w:style w:type="character" w:styleId="Emphasis">
    <w:name w:val="Emphasis"/>
    <w:uiPriority w:val="20"/>
    <w:qFormat/>
    <w:rsid w:val="00F23779"/>
    <w:rPr>
      <w:i/>
      <w:iCs/>
    </w:rPr>
  </w:style>
  <w:style w:type="character" w:customStyle="1" w:styleId="NoSpacingChar">
    <w:name w:val="No Spacing Char"/>
    <w:basedOn w:val="DefaultParagraphFont"/>
    <w:link w:val="NoSpacing"/>
    <w:uiPriority w:val="1"/>
    <w:rsid w:val="00F23779"/>
  </w:style>
  <w:style w:type="paragraph" w:styleId="ListParagraph">
    <w:name w:val="List Paragraph"/>
    <w:basedOn w:val="Normal"/>
    <w:uiPriority w:val="1"/>
    <w:qFormat/>
    <w:rsid w:val="00F23779"/>
    <w:pPr>
      <w:ind w:left="720"/>
      <w:contextualSpacing/>
    </w:pPr>
  </w:style>
  <w:style w:type="paragraph" w:styleId="Quote">
    <w:name w:val="Quote"/>
    <w:basedOn w:val="Normal"/>
    <w:next w:val="Normal"/>
    <w:link w:val="QuoteChar"/>
    <w:uiPriority w:val="29"/>
    <w:qFormat/>
    <w:rsid w:val="00F2377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23779"/>
    <w:rPr>
      <w:rFonts w:ascii="Times New Roman" w:hAnsi="Times New Roman"/>
      <w:i/>
      <w:iCs/>
      <w:color w:val="404040" w:themeColor="text1" w:themeTint="BF"/>
      <w:kern w:val="0"/>
      <w:szCs w:val="22"/>
      <w14:ligatures w14:val="none"/>
    </w:rPr>
  </w:style>
  <w:style w:type="paragraph" w:styleId="IntenseQuote">
    <w:name w:val="Intense Quote"/>
    <w:basedOn w:val="Normal"/>
    <w:next w:val="Normal"/>
    <w:link w:val="IntenseQuoteChar"/>
    <w:uiPriority w:val="30"/>
    <w:qFormat/>
    <w:rsid w:val="00F237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23779"/>
    <w:rPr>
      <w:rFonts w:ascii="Times New Roman" w:hAnsi="Times New Roman"/>
      <w:i/>
      <w:iCs/>
      <w:color w:val="4472C4" w:themeColor="accent1"/>
      <w:kern w:val="0"/>
      <w:szCs w:val="22"/>
      <w14:ligatures w14:val="none"/>
    </w:rPr>
  </w:style>
  <w:style w:type="character" w:styleId="SubtleEmphasis">
    <w:name w:val="Subtle Emphasis"/>
    <w:uiPriority w:val="19"/>
    <w:qFormat/>
    <w:rsid w:val="00F23779"/>
    <w:rPr>
      <w:i/>
      <w:iCs/>
      <w:color w:val="404040" w:themeColor="text1" w:themeTint="BF"/>
    </w:rPr>
  </w:style>
  <w:style w:type="character" w:styleId="IntenseEmphasis">
    <w:name w:val="Intense Emphasis"/>
    <w:uiPriority w:val="21"/>
    <w:qFormat/>
    <w:rsid w:val="00F23779"/>
    <w:rPr>
      <w:i/>
      <w:iCs/>
      <w:color w:val="4472C4" w:themeColor="accent1"/>
    </w:rPr>
  </w:style>
  <w:style w:type="character" w:styleId="SubtleReference">
    <w:name w:val="Subtle Reference"/>
    <w:uiPriority w:val="31"/>
    <w:qFormat/>
    <w:rsid w:val="00F23779"/>
    <w:rPr>
      <w:smallCaps/>
      <w:color w:val="5A5A5A" w:themeColor="text1" w:themeTint="A5"/>
    </w:rPr>
  </w:style>
  <w:style w:type="character" w:styleId="IntenseReference">
    <w:name w:val="Intense Reference"/>
    <w:uiPriority w:val="32"/>
    <w:qFormat/>
    <w:rsid w:val="00F23779"/>
    <w:rPr>
      <w:b/>
      <w:bCs/>
      <w:smallCaps/>
      <w:color w:val="4472C4" w:themeColor="accent1"/>
      <w:spacing w:val="5"/>
    </w:rPr>
  </w:style>
  <w:style w:type="character" w:styleId="BookTitle">
    <w:name w:val="Book Title"/>
    <w:uiPriority w:val="33"/>
    <w:qFormat/>
    <w:rsid w:val="00F23779"/>
    <w:rPr>
      <w:b/>
      <w:bCs/>
      <w:i/>
      <w:iCs/>
      <w:spacing w:val="5"/>
    </w:rPr>
  </w:style>
  <w:style w:type="paragraph" w:styleId="TOCHeading">
    <w:name w:val="TOC Heading"/>
    <w:basedOn w:val="Heading1"/>
    <w:next w:val="Normal"/>
    <w:uiPriority w:val="39"/>
    <w:semiHidden/>
    <w:unhideWhenUsed/>
    <w:qFormat/>
    <w:rsid w:val="00F23779"/>
    <w:pPr>
      <w:outlineLvl w:val="9"/>
    </w:pPr>
  </w:style>
  <w:style w:type="character" w:customStyle="1" w:styleId="apple-converted-space">
    <w:name w:val="apple-converted-space"/>
    <w:basedOn w:val="DefaultParagraphFont"/>
    <w:rsid w:val="00707C0F"/>
  </w:style>
  <w:style w:type="paragraph" w:styleId="NormalWeb">
    <w:name w:val="Normal (Web)"/>
    <w:basedOn w:val="Normal"/>
    <w:uiPriority w:val="99"/>
    <w:unhideWhenUsed/>
    <w:rsid w:val="00707C0F"/>
    <w:pPr>
      <w:spacing w:before="100" w:beforeAutospacing="1" w:after="100" w:afterAutospacing="1"/>
    </w:pPr>
  </w:style>
  <w:style w:type="paragraph" w:styleId="Header">
    <w:name w:val="header"/>
    <w:basedOn w:val="Normal"/>
    <w:link w:val="HeaderChar"/>
    <w:uiPriority w:val="99"/>
    <w:unhideWhenUsed/>
    <w:rsid w:val="00707C0F"/>
    <w:pPr>
      <w:tabs>
        <w:tab w:val="center" w:pos="4680"/>
        <w:tab w:val="right" w:pos="9360"/>
      </w:tabs>
    </w:pPr>
  </w:style>
  <w:style w:type="character" w:customStyle="1" w:styleId="HeaderChar">
    <w:name w:val="Header Char"/>
    <w:basedOn w:val="DefaultParagraphFont"/>
    <w:link w:val="Header"/>
    <w:uiPriority w:val="99"/>
    <w:rsid w:val="00707C0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07C0F"/>
    <w:pPr>
      <w:tabs>
        <w:tab w:val="center" w:pos="4680"/>
        <w:tab w:val="right" w:pos="9360"/>
      </w:tabs>
    </w:pPr>
  </w:style>
  <w:style w:type="character" w:customStyle="1" w:styleId="FooterChar">
    <w:name w:val="Footer Char"/>
    <w:basedOn w:val="DefaultParagraphFont"/>
    <w:link w:val="Footer"/>
    <w:uiPriority w:val="99"/>
    <w:rsid w:val="00707C0F"/>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707C0F"/>
  </w:style>
  <w:style w:type="paragraph" w:customStyle="1" w:styleId="Default">
    <w:name w:val="Default"/>
    <w:rsid w:val="00707C0F"/>
    <w:pPr>
      <w:autoSpaceDE w:val="0"/>
      <w:autoSpaceDN w:val="0"/>
      <w:adjustRightInd w:val="0"/>
    </w:pPr>
    <w:rPr>
      <w:rFonts w:ascii="Arial" w:hAnsi="Arial" w:cs="Arial"/>
      <w:color w:val="000000"/>
      <w:kern w:val="0"/>
    </w:rPr>
  </w:style>
  <w:style w:type="table" w:customStyle="1" w:styleId="TableGrid1">
    <w:name w:val="Table Grid1"/>
    <w:basedOn w:val="TableNormal"/>
    <w:next w:val="TableGrid"/>
    <w:uiPriority w:val="59"/>
    <w:rsid w:val="00707C0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7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7C0F"/>
    <w:rPr>
      <w:color w:val="0563C1" w:themeColor="hyperlink"/>
      <w:u w:val="single"/>
    </w:rPr>
  </w:style>
  <w:style w:type="character" w:styleId="UnresolvedMention">
    <w:name w:val="Unresolved Mention"/>
    <w:basedOn w:val="DefaultParagraphFont"/>
    <w:uiPriority w:val="99"/>
    <w:semiHidden/>
    <w:unhideWhenUsed/>
    <w:rsid w:val="00707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3889">
      <w:bodyDiv w:val="1"/>
      <w:marLeft w:val="0"/>
      <w:marRight w:val="0"/>
      <w:marTop w:val="0"/>
      <w:marBottom w:val="0"/>
      <w:divBdr>
        <w:top w:val="none" w:sz="0" w:space="0" w:color="auto"/>
        <w:left w:val="none" w:sz="0" w:space="0" w:color="auto"/>
        <w:bottom w:val="none" w:sz="0" w:space="0" w:color="auto"/>
        <w:right w:val="none" w:sz="0" w:space="0" w:color="auto"/>
      </w:divBdr>
    </w:div>
    <w:div w:id="62921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about:blan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AMK_MBProRetina2014\Desktop\Practicum\FINAL%20DATA%20TABLES(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MK_MBProRetina2014\Desktop\Practicum\FINAL%20DATA%20TABLES(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AMK_MBProRetina2014\Desktop\Practicum\FINAL%20DATA%20TABLES(AutoRecovered).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B772-DF49-B724-6502B0FD88BD}"/>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B772-DF49-B724-6502B0FD88BD}"/>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B772-DF49-B724-6502B0FD88BD}"/>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B772-DF49-B724-6502B0FD88BD}"/>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B772-DF49-B724-6502B0FD88BD}"/>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B772-DF49-B724-6502B0FD88BD}"/>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B772-DF49-B724-6502B0FD88BD}"/>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B772-DF49-B724-6502B0FD88BD}"/>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B772-DF49-B724-6502B0FD88BD}"/>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B772-DF49-B724-6502B0FD88BD}"/>
              </c:ext>
            </c:extLst>
          </c:dPt>
          <c:dPt>
            <c:idx val="10"/>
            <c:invertIfNegative val="0"/>
            <c:bubble3D val="0"/>
            <c:spPr>
              <a:solidFill>
                <a:schemeClr val="accent5">
                  <a:lumMod val="60000"/>
                </a:schemeClr>
              </a:solidFill>
              <a:ln>
                <a:noFill/>
              </a:ln>
              <a:effectLst/>
            </c:spPr>
            <c:extLst>
              <c:ext xmlns:c16="http://schemas.microsoft.com/office/drawing/2014/chart" uri="{C3380CC4-5D6E-409C-BE32-E72D297353CC}">
                <c16:uniqueId val="{00000015-B772-DF49-B724-6502B0FD88BD}"/>
              </c:ext>
            </c:extLst>
          </c:dPt>
          <c:dPt>
            <c:idx val="11"/>
            <c:invertIfNegative val="0"/>
            <c:bubble3D val="0"/>
            <c:spPr>
              <a:solidFill>
                <a:schemeClr val="accent6">
                  <a:lumMod val="60000"/>
                </a:schemeClr>
              </a:solidFill>
              <a:ln>
                <a:noFill/>
              </a:ln>
              <a:effectLst/>
            </c:spPr>
            <c:extLst>
              <c:ext xmlns:c16="http://schemas.microsoft.com/office/drawing/2014/chart" uri="{C3380CC4-5D6E-409C-BE32-E72D297353CC}">
                <c16:uniqueId val="{00000017-B772-DF49-B724-6502B0FD88BD}"/>
              </c:ext>
            </c:extLst>
          </c:dPt>
          <c:dPt>
            <c:idx val="12"/>
            <c:invertIfNegative val="0"/>
            <c:bubble3D val="0"/>
            <c:spPr>
              <a:solidFill>
                <a:schemeClr val="accent1">
                  <a:lumMod val="80000"/>
                  <a:lumOff val="20000"/>
                </a:schemeClr>
              </a:solidFill>
              <a:ln>
                <a:noFill/>
              </a:ln>
              <a:effectLst/>
            </c:spPr>
            <c:extLst>
              <c:ext xmlns:c16="http://schemas.microsoft.com/office/drawing/2014/chart" uri="{C3380CC4-5D6E-409C-BE32-E72D297353CC}">
                <c16:uniqueId val="{00000019-B772-DF49-B724-6502B0FD88BD}"/>
              </c:ext>
            </c:extLst>
          </c:dPt>
          <c:dPt>
            <c:idx val="13"/>
            <c:invertIfNegative val="0"/>
            <c:bubble3D val="0"/>
            <c:spPr>
              <a:solidFill>
                <a:schemeClr val="accent2">
                  <a:lumMod val="80000"/>
                  <a:lumOff val="20000"/>
                </a:schemeClr>
              </a:solidFill>
              <a:ln>
                <a:noFill/>
              </a:ln>
              <a:effectLst/>
            </c:spPr>
            <c:extLst>
              <c:ext xmlns:c16="http://schemas.microsoft.com/office/drawing/2014/chart" uri="{C3380CC4-5D6E-409C-BE32-E72D297353CC}">
                <c16:uniqueId val="{0000001B-B772-DF49-B724-6502B0FD88BD}"/>
              </c:ext>
            </c:extLst>
          </c:dPt>
          <c:dPt>
            <c:idx val="14"/>
            <c:invertIfNegative val="0"/>
            <c:bubble3D val="0"/>
            <c:spPr>
              <a:solidFill>
                <a:schemeClr val="accent3">
                  <a:lumMod val="80000"/>
                  <a:lumOff val="20000"/>
                </a:schemeClr>
              </a:solidFill>
              <a:ln>
                <a:noFill/>
              </a:ln>
              <a:effectLst/>
            </c:spPr>
            <c:extLst>
              <c:ext xmlns:c16="http://schemas.microsoft.com/office/drawing/2014/chart" uri="{C3380CC4-5D6E-409C-BE32-E72D297353CC}">
                <c16:uniqueId val="{0000001D-B772-DF49-B724-6502B0FD88BD}"/>
              </c:ext>
            </c:extLst>
          </c:dPt>
          <c:dPt>
            <c:idx val="15"/>
            <c:invertIfNegative val="0"/>
            <c:bubble3D val="0"/>
            <c:spPr>
              <a:solidFill>
                <a:schemeClr val="accent4">
                  <a:lumMod val="80000"/>
                  <a:lumOff val="20000"/>
                </a:schemeClr>
              </a:solidFill>
              <a:ln>
                <a:noFill/>
              </a:ln>
              <a:effectLst/>
            </c:spPr>
            <c:extLst>
              <c:ext xmlns:c16="http://schemas.microsoft.com/office/drawing/2014/chart" uri="{C3380CC4-5D6E-409C-BE32-E72D297353CC}">
                <c16:uniqueId val="{0000001F-B772-DF49-B724-6502B0FD88BD}"/>
              </c:ext>
            </c:extLst>
          </c:dPt>
          <c:dPt>
            <c:idx val="16"/>
            <c:invertIfNegative val="0"/>
            <c:bubble3D val="0"/>
            <c:spPr>
              <a:solidFill>
                <a:schemeClr val="accent5">
                  <a:lumMod val="80000"/>
                  <a:lumOff val="20000"/>
                </a:schemeClr>
              </a:solidFill>
              <a:ln>
                <a:noFill/>
              </a:ln>
              <a:effectLst/>
            </c:spPr>
            <c:extLst>
              <c:ext xmlns:c16="http://schemas.microsoft.com/office/drawing/2014/chart" uri="{C3380CC4-5D6E-409C-BE32-E72D297353CC}">
                <c16:uniqueId val="{00000021-B772-DF49-B724-6502B0FD88BD}"/>
              </c:ext>
            </c:extLst>
          </c:dPt>
          <c:dPt>
            <c:idx val="17"/>
            <c:invertIfNegative val="0"/>
            <c:bubble3D val="0"/>
            <c:spPr>
              <a:solidFill>
                <a:schemeClr val="accent6">
                  <a:lumMod val="80000"/>
                  <a:lumOff val="20000"/>
                </a:schemeClr>
              </a:solidFill>
              <a:ln>
                <a:noFill/>
              </a:ln>
              <a:effectLst/>
            </c:spPr>
            <c:extLst>
              <c:ext xmlns:c16="http://schemas.microsoft.com/office/drawing/2014/chart" uri="{C3380CC4-5D6E-409C-BE32-E72D297353CC}">
                <c16:uniqueId val="{00000023-B772-DF49-B724-6502B0FD88BD}"/>
              </c:ext>
            </c:extLst>
          </c:dPt>
          <c:dPt>
            <c:idx val="18"/>
            <c:invertIfNegative val="0"/>
            <c:bubble3D val="0"/>
            <c:spPr>
              <a:solidFill>
                <a:schemeClr val="accent1">
                  <a:lumMod val="80000"/>
                </a:schemeClr>
              </a:solidFill>
              <a:ln>
                <a:noFill/>
              </a:ln>
              <a:effectLst/>
            </c:spPr>
            <c:extLst>
              <c:ext xmlns:c16="http://schemas.microsoft.com/office/drawing/2014/chart" uri="{C3380CC4-5D6E-409C-BE32-E72D297353CC}">
                <c16:uniqueId val="{00000025-B772-DF49-B724-6502B0FD88BD}"/>
              </c:ext>
            </c:extLst>
          </c:dPt>
          <c:dPt>
            <c:idx val="19"/>
            <c:invertIfNegative val="0"/>
            <c:bubble3D val="0"/>
            <c:spPr>
              <a:solidFill>
                <a:schemeClr val="accent2">
                  <a:lumMod val="80000"/>
                </a:schemeClr>
              </a:solidFill>
              <a:ln>
                <a:noFill/>
              </a:ln>
              <a:effectLst/>
            </c:spPr>
            <c:extLst>
              <c:ext xmlns:c16="http://schemas.microsoft.com/office/drawing/2014/chart" uri="{C3380CC4-5D6E-409C-BE32-E72D297353CC}">
                <c16:uniqueId val="{00000027-B772-DF49-B724-6502B0FD88BD}"/>
              </c:ext>
            </c:extLst>
          </c:dPt>
          <c:dPt>
            <c:idx val="20"/>
            <c:invertIfNegative val="0"/>
            <c:bubble3D val="0"/>
            <c:spPr>
              <a:solidFill>
                <a:schemeClr val="accent3">
                  <a:lumMod val="80000"/>
                </a:schemeClr>
              </a:solidFill>
              <a:ln>
                <a:noFill/>
              </a:ln>
              <a:effectLst/>
            </c:spPr>
            <c:extLst>
              <c:ext xmlns:c16="http://schemas.microsoft.com/office/drawing/2014/chart" uri="{C3380CC4-5D6E-409C-BE32-E72D297353CC}">
                <c16:uniqueId val="{00000029-B772-DF49-B724-6502B0FD88BD}"/>
              </c:ext>
            </c:extLst>
          </c:dPt>
          <c:dPt>
            <c:idx val="21"/>
            <c:invertIfNegative val="0"/>
            <c:bubble3D val="0"/>
            <c:spPr>
              <a:solidFill>
                <a:schemeClr val="accent4">
                  <a:lumMod val="80000"/>
                </a:schemeClr>
              </a:solidFill>
              <a:ln>
                <a:noFill/>
              </a:ln>
              <a:effectLst/>
            </c:spPr>
            <c:extLst>
              <c:ext xmlns:c16="http://schemas.microsoft.com/office/drawing/2014/chart" uri="{C3380CC4-5D6E-409C-BE32-E72D297353CC}">
                <c16:uniqueId val="{0000002B-B772-DF49-B724-6502B0FD88BD}"/>
              </c:ext>
            </c:extLst>
          </c:dPt>
          <c:dPt>
            <c:idx val="22"/>
            <c:invertIfNegative val="0"/>
            <c:bubble3D val="0"/>
            <c:spPr>
              <a:solidFill>
                <a:schemeClr val="accent5">
                  <a:lumMod val="80000"/>
                </a:schemeClr>
              </a:solidFill>
              <a:ln>
                <a:noFill/>
              </a:ln>
              <a:effectLst/>
            </c:spPr>
            <c:extLst>
              <c:ext xmlns:c16="http://schemas.microsoft.com/office/drawing/2014/chart" uri="{C3380CC4-5D6E-409C-BE32-E72D297353CC}">
                <c16:uniqueId val="{0000002D-B772-DF49-B724-6502B0FD88BD}"/>
              </c:ext>
            </c:extLst>
          </c:dPt>
          <c:dPt>
            <c:idx val="23"/>
            <c:invertIfNegative val="0"/>
            <c:bubble3D val="0"/>
            <c:spPr>
              <a:solidFill>
                <a:schemeClr val="accent6">
                  <a:lumMod val="80000"/>
                </a:schemeClr>
              </a:solidFill>
              <a:ln>
                <a:noFill/>
              </a:ln>
              <a:effectLst/>
            </c:spPr>
            <c:extLst>
              <c:ext xmlns:c16="http://schemas.microsoft.com/office/drawing/2014/chart" uri="{C3380CC4-5D6E-409C-BE32-E72D297353CC}">
                <c16:uniqueId val="{0000002F-B772-DF49-B724-6502B0FD88BD}"/>
              </c:ext>
            </c:extLst>
          </c:dPt>
          <c:dPt>
            <c:idx val="24"/>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31-B772-DF49-B724-6502B0FD88BD}"/>
              </c:ext>
            </c:extLst>
          </c:dPt>
          <c:dPt>
            <c:idx val="25"/>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33-B772-DF49-B724-6502B0FD88BD}"/>
              </c:ext>
            </c:extLst>
          </c:dPt>
          <c:dPt>
            <c:idx val="26"/>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35-B772-DF49-B724-6502B0FD88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'Frequency Tables for Graphs'!$D$2:$D$28</c:f>
              <c:strCache>
                <c:ptCount val="27"/>
                <c:pt idx="0">
                  <c:v>Alcohol Use</c:v>
                </c:pt>
                <c:pt idx="1">
                  <c:v>Community/Environmental Violence</c:v>
                </c:pt>
                <c:pt idx="2">
                  <c:v>Delinquent/Criminal Behavior; Judicial Interactions</c:v>
                </c:pt>
                <c:pt idx="3">
                  <c:v>Domestic Abuse/Violence</c:v>
                </c:pt>
                <c:pt idx="4">
                  <c:v>Emotional Abuse</c:v>
                </c:pt>
                <c:pt idx="5">
                  <c:v>Employment Stability</c:v>
                </c:pt>
                <c:pt idx="6">
                  <c:v>Ethnic/Racial Minority</c:v>
                </c:pt>
                <c:pt idx="7">
                  <c:v>Familial Rejection</c:v>
                </c:pt>
                <c:pt idx="8">
                  <c:v>Financial Instability</c:v>
                </c:pt>
                <c:pt idx="9">
                  <c:v>Foster Care</c:v>
                </c:pt>
                <c:pt idx="10">
                  <c:v>History of Housing Instability/Homelessness</c:v>
                </c:pt>
                <c:pt idx="11">
                  <c:v>Household Substance Use</c:v>
                </c:pt>
                <c:pt idx="12">
                  <c:v>Lack of Meeting Basic Needs</c:v>
                </c:pt>
                <c:pt idx="13">
                  <c:v>Lack of Parental Involvement</c:v>
                </c:pt>
                <c:pt idx="14">
                  <c:v>LGBTQ+</c:v>
                </c:pt>
                <c:pt idx="15">
                  <c:v>Low Educational Attainment</c:v>
                </c:pt>
                <c:pt idx="16">
                  <c:v>Male</c:v>
                </c:pt>
                <c:pt idx="17">
                  <c:v>Non Descriptive Abuse/Violence</c:v>
                </c:pt>
                <c:pt idx="18">
                  <c:v>Non Descriptive Familial Problems</c:v>
                </c:pt>
                <c:pt idx="19">
                  <c:v>Older Age</c:v>
                </c:pt>
                <c:pt idx="20">
                  <c:v>Physical Abuse/Violence</c:v>
                </c:pt>
                <c:pt idx="21">
                  <c:v>Poor Mental Health</c:v>
                </c:pt>
                <c:pt idx="22">
                  <c:v>Sexual Abuse/Violence</c:v>
                </c:pt>
                <c:pt idx="23">
                  <c:v>Substance Use</c:v>
                </c:pt>
                <c:pt idx="24">
                  <c:v>Transitional Housing</c:v>
                </c:pt>
                <c:pt idx="25">
                  <c:v>Traumatic Brain Injury</c:v>
                </c:pt>
                <c:pt idx="26">
                  <c:v>Pregnancy </c:v>
                </c:pt>
              </c:strCache>
            </c:strRef>
          </c:cat>
          <c:val>
            <c:numRef>
              <c:f>'Frequency Tables for Graphs'!$E$2:$E$28</c:f>
              <c:numCache>
                <c:formatCode>General</c:formatCode>
                <c:ptCount val="27"/>
                <c:pt idx="0">
                  <c:v>3</c:v>
                </c:pt>
                <c:pt idx="1">
                  <c:v>1</c:v>
                </c:pt>
                <c:pt idx="2">
                  <c:v>5</c:v>
                </c:pt>
                <c:pt idx="3">
                  <c:v>1</c:v>
                </c:pt>
                <c:pt idx="4">
                  <c:v>1</c:v>
                </c:pt>
                <c:pt idx="5">
                  <c:v>2</c:v>
                </c:pt>
                <c:pt idx="6">
                  <c:v>9</c:v>
                </c:pt>
                <c:pt idx="7">
                  <c:v>2</c:v>
                </c:pt>
                <c:pt idx="8">
                  <c:v>4</c:v>
                </c:pt>
                <c:pt idx="9">
                  <c:v>2</c:v>
                </c:pt>
                <c:pt idx="10">
                  <c:v>6</c:v>
                </c:pt>
                <c:pt idx="11">
                  <c:v>3</c:v>
                </c:pt>
                <c:pt idx="12">
                  <c:v>2</c:v>
                </c:pt>
                <c:pt idx="13">
                  <c:v>2</c:v>
                </c:pt>
                <c:pt idx="14">
                  <c:v>8</c:v>
                </c:pt>
                <c:pt idx="15">
                  <c:v>4</c:v>
                </c:pt>
                <c:pt idx="16">
                  <c:v>3</c:v>
                </c:pt>
                <c:pt idx="17">
                  <c:v>2</c:v>
                </c:pt>
                <c:pt idx="18">
                  <c:v>1</c:v>
                </c:pt>
                <c:pt idx="19">
                  <c:v>1</c:v>
                </c:pt>
                <c:pt idx="20">
                  <c:v>5</c:v>
                </c:pt>
                <c:pt idx="21">
                  <c:v>6</c:v>
                </c:pt>
                <c:pt idx="22">
                  <c:v>3</c:v>
                </c:pt>
                <c:pt idx="23">
                  <c:v>4</c:v>
                </c:pt>
                <c:pt idx="24">
                  <c:v>1</c:v>
                </c:pt>
                <c:pt idx="25">
                  <c:v>1</c:v>
                </c:pt>
                <c:pt idx="26">
                  <c:v>1</c:v>
                </c:pt>
              </c:numCache>
            </c:numRef>
          </c:val>
          <c:extLst>
            <c:ext xmlns:c16="http://schemas.microsoft.com/office/drawing/2014/chart" uri="{C3380CC4-5D6E-409C-BE32-E72D297353CC}">
              <c16:uniqueId val="{00000036-B772-DF49-B724-6502B0FD88BD}"/>
            </c:ext>
          </c:extLst>
        </c:ser>
        <c:dLbls>
          <c:showLegendKey val="0"/>
          <c:showVal val="0"/>
          <c:showCatName val="0"/>
          <c:showSerName val="0"/>
          <c:showPercent val="0"/>
          <c:showBubbleSize val="0"/>
        </c:dLbls>
        <c:gapWidth val="182"/>
        <c:axId val="2099762512"/>
        <c:axId val="2059637872"/>
      </c:barChart>
      <c:catAx>
        <c:axId val="2099762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2059637872"/>
        <c:crosses val="autoZero"/>
        <c:auto val="1"/>
        <c:lblAlgn val="ctr"/>
        <c:lblOffset val="100"/>
        <c:noMultiLvlLbl val="0"/>
      </c:catAx>
      <c:valAx>
        <c:axId val="20596378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r>
                  <a:rPr lang="en-US">
                    <a:solidFill>
                      <a:sysClr val="windowText" lastClr="000000"/>
                    </a:solidFill>
                    <a:latin typeface="+mj-lt"/>
                  </a:rPr>
                  <a:t>Count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2099762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AD27-E44D-A3BE-90FCC87643B4}"/>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AD27-E44D-A3BE-90FCC87643B4}"/>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AD27-E44D-A3BE-90FCC87643B4}"/>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AD27-E44D-A3BE-90FCC87643B4}"/>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AD27-E44D-A3BE-90FCC87643B4}"/>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AD27-E44D-A3BE-90FCC87643B4}"/>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AD27-E44D-A3BE-90FCC87643B4}"/>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AD27-E44D-A3BE-90FCC87643B4}"/>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AD27-E44D-A3BE-90FCC87643B4}"/>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AD27-E44D-A3BE-90FCC87643B4}"/>
              </c:ext>
            </c:extLst>
          </c:dPt>
          <c:dPt>
            <c:idx val="10"/>
            <c:invertIfNegative val="0"/>
            <c:bubble3D val="0"/>
            <c:spPr>
              <a:solidFill>
                <a:schemeClr val="accent5">
                  <a:lumMod val="60000"/>
                </a:schemeClr>
              </a:solidFill>
              <a:ln>
                <a:noFill/>
              </a:ln>
              <a:effectLst/>
            </c:spPr>
            <c:extLst>
              <c:ext xmlns:c16="http://schemas.microsoft.com/office/drawing/2014/chart" uri="{C3380CC4-5D6E-409C-BE32-E72D297353CC}">
                <c16:uniqueId val="{00000015-AD27-E44D-A3BE-90FCC87643B4}"/>
              </c:ext>
            </c:extLst>
          </c:dPt>
          <c:dPt>
            <c:idx val="11"/>
            <c:invertIfNegative val="0"/>
            <c:bubble3D val="0"/>
            <c:spPr>
              <a:solidFill>
                <a:schemeClr val="accent6">
                  <a:lumMod val="60000"/>
                </a:schemeClr>
              </a:solidFill>
              <a:ln>
                <a:noFill/>
              </a:ln>
              <a:effectLst/>
            </c:spPr>
            <c:extLst>
              <c:ext xmlns:c16="http://schemas.microsoft.com/office/drawing/2014/chart" uri="{C3380CC4-5D6E-409C-BE32-E72D297353CC}">
                <c16:uniqueId val="{00000017-AD27-E44D-A3BE-90FCC87643B4}"/>
              </c:ext>
            </c:extLst>
          </c:dPt>
          <c:dPt>
            <c:idx val="12"/>
            <c:invertIfNegative val="0"/>
            <c:bubble3D val="0"/>
            <c:spPr>
              <a:solidFill>
                <a:schemeClr val="accent1">
                  <a:lumMod val="80000"/>
                  <a:lumOff val="20000"/>
                </a:schemeClr>
              </a:solidFill>
              <a:ln>
                <a:noFill/>
              </a:ln>
              <a:effectLst/>
            </c:spPr>
            <c:extLst>
              <c:ext xmlns:c16="http://schemas.microsoft.com/office/drawing/2014/chart" uri="{C3380CC4-5D6E-409C-BE32-E72D297353CC}">
                <c16:uniqueId val="{00000019-AD27-E44D-A3BE-90FCC87643B4}"/>
              </c:ext>
            </c:extLst>
          </c:dPt>
          <c:dPt>
            <c:idx val="13"/>
            <c:invertIfNegative val="0"/>
            <c:bubble3D val="0"/>
            <c:spPr>
              <a:solidFill>
                <a:schemeClr val="accent2">
                  <a:lumMod val="80000"/>
                  <a:lumOff val="20000"/>
                </a:schemeClr>
              </a:solidFill>
              <a:ln>
                <a:noFill/>
              </a:ln>
              <a:effectLst/>
            </c:spPr>
            <c:extLst>
              <c:ext xmlns:c16="http://schemas.microsoft.com/office/drawing/2014/chart" uri="{C3380CC4-5D6E-409C-BE32-E72D297353CC}">
                <c16:uniqueId val="{0000001B-AD27-E44D-A3BE-90FCC87643B4}"/>
              </c:ext>
            </c:extLst>
          </c:dPt>
          <c:dPt>
            <c:idx val="14"/>
            <c:invertIfNegative val="0"/>
            <c:bubble3D val="0"/>
            <c:spPr>
              <a:solidFill>
                <a:schemeClr val="accent3">
                  <a:lumMod val="80000"/>
                  <a:lumOff val="20000"/>
                </a:schemeClr>
              </a:solidFill>
              <a:ln>
                <a:noFill/>
              </a:ln>
              <a:effectLst/>
            </c:spPr>
            <c:extLst>
              <c:ext xmlns:c16="http://schemas.microsoft.com/office/drawing/2014/chart" uri="{C3380CC4-5D6E-409C-BE32-E72D297353CC}">
                <c16:uniqueId val="{0000001D-AD27-E44D-A3BE-90FCC87643B4}"/>
              </c:ext>
            </c:extLst>
          </c:dPt>
          <c:dPt>
            <c:idx val="15"/>
            <c:invertIfNegative val="0"/>
            <c:bubble3D val="0"/>
            <c:spPr>
              <a:solidFill>
                <a:schemeClr val="accent4">
                  <a:lumMod val="80000"/>
                  <a:lumOff val="20000"/>
                </a:schemeClr>
              </a:solidFill>
              <a:ln>
                <a:noFill/>
              </a:ln>
              <a:effectLst/>
            </c:spPr>
            <c:extLst>
              <c:ext xmlns:c16="http://schemas.microsoft.com/office/drawing/2014/chart" uri="{C3380CC4-5D6E-409C-BE32-E72D297353CC}">
                <c16:uniqueId val="{0000001F-AD27-E44D-A3BE-90FCC87643B4}"/>
              </c:ext>
            </c:extLst>
          </c:dPt>
          <c:dPt>
            <c:idx val="16"/>
            <c:invertIfNegative val="0"/>
            <c:bubble3D val="0"/>
            <c:spPr>
              <a:solidFill>
                <a:schemeClr val="accent5">
                  <a:lumMod val="80000"/>
                  <a:lumOff val="20000"/>
                </a:schemeClr>
              </a:solidFill>
              <a:ln>
                <a:noFill/>
              </a:ln>
              <a:effectLst/>
            </c:spPr>
            <c:extLst>
              <c:ext xmlns:c16="http://schemas.microsoft.com/office/drawing/2014/chart" uri="{C3380CC4-5D6E-409C-BE32-E72D297353CC}">
                <c16:uniqueId val="{00000021-AD27-E44D-A3BE-90FCC87643B4}"/>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'Frequency Tables for Graphs'!$G$2:$G$18</c:f>
              <c:strCache>
                <c:ptCount val="17"/>
                <c:pt idx="0">
                  <c:v>Alcohol Use Disorder</c:v>
                </c:pt>
                <c:pt idx="1">
                  <c:v>Delinquent/Criminal Behavior; Judicial Interactions</c:v>
                </c:pt>
                <c:pt idx="2">
                  <c:v>Employment Instability</c:v>
                </c:pt>
                <c:pt idx="3">
                  <c:v>Financial Instability</c:v>
                </c:pt>
                <c:pt idx="4">
                  <c:v>High Risk Sexual Behaviors</c:v>
                </c:pt>
                <c:pt idx="5">
                  <c:v>Increased Adult Homelessness Rate</c:v>
                </c:pt>
                <c:pt idx="6">
                  <c:v>Lack of Meeting Basic Needs</c:v>
                </c:pt>
                <c:pt idx="7">
                  <c:v>Lack of Social Support</c:v>
                </c:pt>
                <c:pt idx="8">
                  <c:v>Low Academic Achievement</c:v>
                </c:pt>
                <c:pt idx="9">
                  <c:v>Negative Stigma</c:v>
                </c:pt>
                <c:pt idx="10">
                  <c:v>Physical Abuse/Violence</c:v>
                </c:pt>
                <c:pt idx="11">
                  <c:v>Poor Mental Health</c:v>
                </c:pt>
                <c:pt idx="12">
                  <c:v>Poor Physical Health</c:v>
                </c:pt>
                <c:pt idx="13">
                  <c:v>Tobacco Use Disorder</c:v>
                </c:pt>
                <c:pt idx="14">
                  <c:v>Sexual Abuse/Violence</c:v>
                </c:pt>
                <c:pt idx="15">
                  <c:v>Sexual Transmitted Diseases</c:v>
                </c:pt>
                <c:pt idx="16">
                  <c:v>Substance Use Disorder</c:v>
                </c:pt>
              </c:strCache>
            </c:strRef>
          </c:cat>
          <c:val>
            <c:numRef>
              <c:f>'Frequency Tables for Graphs'!$H$2:$H$18</c:f>
              <c:numCache>
                <c:formatCode>General</c:formatCode>
                <c:ptCount val="17"/>
                <c:pt idx="0">
                  <c:v>8</c:v>
                </c:pt>
                <c:pt idx="1">
                  <c:v>1</c:v>
                </c:pt>
                <c:pt idx="2">
                  <c:v>1</c:v>
                </c:pt>
                <c:pt idx="3">
                  <c:v>1</c:v>
                </c:pt>
                <c:pt idx="4">
                  <c:v>2</c:v>
                </c:pt>
                <c:pt idx="5">
                  <c:v>1</c:v>
                </c:pt>
                <c:pt idx="6">
                  <c:v>1</c:v>
                </c:pt>
                <c:pt idx="7">
                  <c:v>5</c:v>
                </c:pt>
                <c:pt idx="8">
                  <c:v>1</c:v>
                </c:pt>
                <c:pt idx="9">
                  <c:v>1</c:v>
                </c:pt>
                <c:pt idx="10">
                  <c:v>3</c:v>
                </c:pt>
                <c:pt idx="11">
                  <c:v>21</c:v>
                </c:pt>
                <c:pt idx="12">
                  <c:v>5</c:v>
                </c:pt>
                <c:pt idx="13">
                  <c:v>6</c:v>
                </c:pt>
                <c:pt idx="14">
                  <c:v>5</c:v>
                </c:pt>
                <c:pt idx="15">
                  <c:v>5</c:v>
                </c:pt>
                <c:pt idx="16">
                  <c:v>13</c:v>
                </c:pt>
              </c:numCache>
            </c:numRef>
          </c:val>
          <c:extLst>
            <c:ext xmlns:c16="http://schemas.microsoft.com/office/drawing/2014/chart" uri="{C3380CC4-5D6E-409C-BE32-E72D297353CC}">
              <c16:uniqueId val="{00000022-AD27-E44D-A3BE-90FCC87643B4}"/>
            </c:ext>
          </c:extLst>
        </c:ser>
        <c:dLbls>
          <c:showLegendKey val="0"/>
          <c:showVal val="0"/>
          <c:showCatName val="0"/>
          <c:showSerName val="0"/>
          <c:showPercent val="0"/>
          <c:showBubbleSize val="0"/>
        </c:dLbls>
        <c:gapWidth val="182"/>
        <c:axId val="2053883840"/>
        <c:axId val="2098128880"/>
      </c:barChart>
      <c:catAx>
        <c:axId val="2053883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2098128880"/>
        <c:crosses val="autoZero"/>
        <c:auto val="1"/>
        <c:lblAlgn val="ctr"/>
        <c:lblOffset val="100"/>
        <c:noMultiLvlLbl val="0"/>
      </c:catAx>
      <c:valAx>
        <c:axId val="20981288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r>
                  <a:rPr lang="en-US"/>
                  <a:t>Count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2053883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8F1E-1E4D-A5BF-BE922BCA66C9}"/>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8F1E-1E4D-A5BF-BE922BCA66C9}"/>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8F1E-1E4D-A5BF-BE922BCA66C9}"/>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8F1E-1E4D-A5BF-BE922BCA66C9}"/>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'Frequency Tables for Graphs'!$A$33:$A$36</c:f>
              <c:strCache>
                <c:ptCount val="4"/>
                <c:pt idx="0">
                  <c:v>Financial Support</c:v>
                </c:pt>
                <c:pt idx="1">
                  <c:v>Housing</c:v>
                </c:pt>
                <c:pt idx="2">
                  <c:v>Nutritional Support</c:v>
                </c:pt>
                <c:pt idx="3">
                  <c:v>Supportive Services</c:v>
                </c:pt>
              </c:strCache>
            </c:strRef>
          </c:cat>
          <c:val>
            <c:numRef>
              <c:f>'Frequency Tables for Graphs'!$B$33:$B$36</c:f>
              <c:numCache>
                <c:formatCode>General</c:formatCode>
                <c:ptCount val="4"/>
                <c:pt idx="0">
                  <c:v>3</c:v>
                </c:pt>
                <c:pt idx="1">
                  <c:v>7</c:v>
                </c:pt>
                <c:pt idx="2">
                  <c:v>10</c:v>
                </c:pt>
                <c:pt idx="3">
                  <c:v>13</c:v>
                </c:pt>
              </c:numCache>
            </c:numRef>
          </c:val>
          <c:extLst>
            <c:ext xmlns:c16="http://schemas.microsoft.com/office/drawing/2014/chart" uri="{C3380CC4-5D6E-409C-BE32-E72D297353CC}">
              <c16:uniqueId val="{00000008-8F1E-1E4D-A5BF-BE922BCA66C9}"/>
            </c:ext>
          </c:extLst>
        </c:ser>
        <c:dLbls>
          <c:dLblPos val="outEnd"/>
          <c:showLegendKey val="0"/>
          <c:showVal val="1"/>
          <c:showCatName val="0"/>
          <c:showSerName val="0"/>
          <c:showPercent val="0"/>
          <c:showBubbleSize val="0"/>
        </c:dLbls>
        <c:gapWidth val="182"/>
        <c:axId val="1624997392"/>
        <c:axId val="2118818688"/>
      </c:barChart>
      <c:catAx>
        <c:axId val="1624997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2118818688"/>
        <c:crosses val="autoZero"/>
        <c:auto val="1"/>
        <c:lblAlgn val="ctr"/>
        <c:lblOffset val="100"/>
        <c:noMultiLvlLbl val="0"/>
      </c:catAx>
      <c:valAx>
        <c:axId val="21188186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r>
                  <a:rPr lang="en-US"/>
                  <a:t>Count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624997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A062-854E-955D-AD28D3B36576}"/>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A062-854E-955D-AD28D3B36576}"/>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A062-854E-955D-AD28D3B36576}"/>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A062-854E-955D-AD28D3B36576}"/>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A062-854E-955D-AD28D3B36576}"/>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A062-854E-955D-AD28D3B36576}"/>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A062-854E-955D-AD28D3B36576}"/>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A062-854E-955D-AD28D3B36576}"/>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A062-854E-955D-AD28D3B36576}"/>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'Frequency Tables for Graphs'!$A$40:$A$48</c:f>
              <c:strCache>
                <c:ptCount val="9"/>
                <c:pt idx="0">
                  <c:v>Financial Support</c:v>
                </c:pt>
                <c:pt idx="1">
                  <c:v>Housing </c:v>
                </c:pt>
                <c:pt idx="2">
                  <c:v>Nutritional Support</c:v>
                </c:pt>
                <c:pt idx="3">
                  <c:v>Support Services</c:v>
                </c:pt>
                <c:pt idx="4">
                  <c:v>Housing and Supportive Services</c:v>
                </c:pt>
                <c:pt idx="5">
                  <c:v>Housing, Nutritional Support, and Supportive Services</c:v>
                </c:pt>
                <c:pt idx="6">
                  <c:v>Financial Support, Housing, Nutritional Support, and Supportive Services</c:v>
                </c:pt>
                <c:pt idx="7">
                  <c:v>Financial Support and Supportive Services</c:v>
                </c:pt>
                <c:pt idx="8">
                  <c:v>Nutritional Support and Supportive Services </c:v>
                </c:pt>
              </c:strCache>
            </c:strRef>
          </c:cat>
          <c:val>
            <c:numRef>
              <c:f>'Frequency Tables for Graphs'!$B$40:$B$48</c:f>
              <c:numCache>
                <c:formatCode>General</c:formatCode>
                <c:ptCount val="9"/>
                <c:pt idx="0">
                  <c:v>1</c:v>
                </c:pt>
                <c:pt idx="1">
                  <c:v>1</c:v>
                </c:pt>
                <c:pt idx="2">
                  <c:v>5</c:v>
                </c:pt>
                <c:pt idx="3">
                  <c:v>5</c:v>
                </c:pt>
                <c:pt idx="4">
                  <c:v>2</c:v>
                </c:pt>
                <c:pt idx="5">
                  <c:v>3</c:v>
                </c:pt>
                <c:pt idx="6">
                  <c:v>1</c:v>
                </c:pt>
                <c:pt idx="7">
                  <c:v>1</c:v>
                </c:pt>
                <c:pt idx="8">
                  <c:v>1</c:v>
                </c:pt>
              </c:numCache>
            </c:numRef>
          </c:val>
          <c:extLst>
            <c:ext xmlns:c16="http://schemas.microsoft.com/office/drawing/2014/chart" uri="{C3380CC4-5D6E-409C-BE32-E72D297353CC}">
              <c16:uniqueId val="{00000012-A062-854E-955D-AD28D3B36576}"/>
            </c:ext>
          </c:extLst>
        </c:ser>
        <c:dLbls>
          <c:dLblPos val="outEnd"/>
          <c:showLegendKey val="0"/>
          <c:showVal val="1"/>
          <c:showCatName val="0"/>
          <c:showSerName val="0"/>
          <c:showPercent val="0"/>
          <c:showBubbleSize val="0"/>
        </c:dLbls>
        <c:gapWidth val="182"/>
        <c:axId val="2127539648"/>
        <c:axId val="2127534832"/>
      </c:barChart>
      <c:catAx>
        <c:axId val="2127539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2127534832"/>
        <c:crosses val="autoZero"/>
        <c:auto val="1"/>
        <c:lblAlgn val="ctr"/>
        <c:lblOffset val="100"/>
        <c:noMultiLvlLbl val="0"/>
      </c:catAx>
      <c:valAx>
        <c:axId val="21275348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r>
                  <a:rPr lang="en-US"/>
                  <a:t>Count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2127539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12241</Words>
  <Characters>69778</Characters>
  <Application>Microsoft Office Word</Application>
  <DocSecurity>4</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Kneisly</dc:creator>
  <cp:keywords/>
  <dc:description/>
  <cp:lastModifiedBy>Marilyn Henderson</cp:lastModifiedBy>
  <cp:revision>2</cp:revision>
  <dcterms:created xsi:type="dcterms:W3CDTF">2024-12-05T21:45:00Z</dcterms:created>
  <dcterms:modified xsi:type="dcterms:W3CDTF">2024-12-05T21:45:00Z</dcterms:modified>
</cp:coreProperties>
</file>